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96" w:rsidRDefault="00D24988">
      <w:pPr>
        <w:widowControl w:val="0"/>
        <w:spacing w:after="0" w:line="240" w:lineRule="auto"/>
        <w:ind w:left="7080" w:firstLine="708"/>
        <w:jc w:val="center"/>
        <w:rPr>
          <w:lang w:val="pl-PL"/>
        </w:rPr>
      </w:pPr>
      <w:r>
        <w:rPr>
          <w:lang w:val="pl-PL"/>
        </w:rPr>
        <w:t>Łódź, 08.12.2015</w:t>
      </w:r>
      <w:r w:rsidR="007F422A">
        <w:rPr>
          <w:lang w:val="pl-PL"/>
        </w:rPr>
        <w:t>r.</w:t>
      </w:r>
    </w:p>
    <w:p w:rsidR="00152096" w:rsidRDefault="00152096">
      <w:pPr>
        <w:widowControl w:val="0"/>
        <w:spacing w:after="0" w:line="240" w:lineRule="auto"/>
        <w:rPr>
          <w:lang w:val="pl-PL"/>
        </w:rPr>
      </w:pPr>
    </w:p>
    <w:p w:rsidR="00152096" w:rsidRDefault="00152096">
      <w:pPr>
        <w:widowControl w:val="0"/>
        <w:spacing w:after="0" w:line="240" w:lineRule="auto"/>
        <w:rPr>
          <w:lang w:val="pl-PL"/>
        </w:rPr>
      </w:pPr>
    </w:p>
    <w:p w:rsidR="00152096" w:rsidRDefault="00152096">
      <w:pPr>
        <w:widowControl w:val="0"/>
        <w:spacing w:after="0" w:line="240" w:lineRule="auto"/>
        <w:rPr>
          <w:lang w:val="pl-PL"/>
        </w:rPr>
      </w:pPr>
    </w:p>
    <w:p w:rsidR="00152096" w:rsidRDefault="00152096">
      <w:pPr>
        <w:widowControl w:val="0"/>
        <w:spacing w:after="0" w:line="240" w:lineRule="auto"/>
        <w:rPr>
          <w:lang w:val="pl-PL"/>
        </w:rPr>
      </w:pPr>
    </w:p>
    <w:p w:rsidR="00152096" w:rsidRDefault="00152096">
      <w:pPr>
        <w:widowControl w:val="0"/>
        <w:spacing w:after="0" w:line="240" w:lineRule="auto"/>
        <w:rPr>
          <w:lang w:val="pl-PL"/>
        </w:rPr>
      </w:pPr>
    </w:p>
    <w:p w:rsidR="00152096" w:rsidRDefault="007F422A">
      <w:pPr>
        <w:widowControl w:val="0"/>
        <w:spacing w:after="0" w:line="240" w:lineRule="auto"/>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Do Uczestników zapytania ofertowego</w:t>
      </w:r>
    </w:p>
    <w:p w:rsidR="00152096" w:rsidRDefault="007F422A">
      <w:pPr>
        <w:widowControl w:val="0"/>
        <w:spacing w:after="0" w:line="240" w:lineRule="auto"/>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na usługę ubezpieczenia mienia </w:t>
      </w:r>
      <w:proofErr w:type="spellStart"/>
      <w:r>
        <w:rPr>
          <w:lang w:val="pl-PL"/>
        </w:rPr>
        <w:t>PWSFTViT</w:t>
      </w:r>
      <w:proofErr w:type="spellEnd"/>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oraz odpowiedzialności cywilnej.</w:t>
      </w:r>
    </w:p>
    <w:p w:rsidR="00152096" w:rsidRDefault="00152096">
      <w:pPr>
        <w:widowControl w:val="0"/>
        <w:spacing w:after="0" w:line="240" w:lineRule="auto"/>
        <w:rPr>
          <w:lang w:val="pl-PL"/>
        </w:rPr>
      </w:pPr>
    </w:p>
    <w:p w:rsidR="00152096" w:rsidRDefault="00152096">
      <w:pPr>
        <w:widowControl w:val="0"/>
        <w:spacing w:after="0" w:line="240" w:lineRule="auto"/>
        <w:rPr>
          <w:lang w:val="pl-PL"/>
        </w:rPr>
      </w:pPr>
    </w:p>
    <w:p w:rsidR="00152096" w:rsidRDefault="007F422A">
      <w:pPr>
        <w:widowControl w:val="0"/>
        <w:spacing w:after="0" w:line="240" w:lineRule="auto"/>
        <w:rPr>
          <w:lang w:val="pl-PL"/>
        </w:rPr>
      </w:pPr>
      <w:r>
        <w:rPr>
          <w:lang w:val="pl-PL"/>
        </w:rPr>
        <w:t>U</w:t>
      </w:r>
      <w:r w:rsidR="00D24988">
        <w:rPr>
          <w:lang w:val="pl-PL"/>
        </w:rPr>
        <w:t>przejmie informuję, że w dniu 04.12.2015</w:t>
      </w:r>
      <w:r>
        <w:rPr>
          <w:lang w:val="pl-PL"/>
        </w:rPr>
        <w:t xml:space="preserve">r. Zamawiający otrzymał pytania dotyczące Szczegółowego Opisu Zamówienia </w:t>
      </w:r>
      <w:r w:rsidR="00D24988">
        <w:rPr>
          <w:lang w:val="pl-PL"/>
        </w:rPr>
        <w:t>ZO/26/2015</w:t>
      </w:r>
      <w:r>
        <w:rPr>
          <w:lang w:val="pl-PL"/>
        </w:rPr>
        <w:t>, na które udziela następujących odpowiedzi :</w:t>
      </w:r>
    </w:p>
    <w:p w:rsidR="00152096" w:rsidRDefault="00152096">
      <w:pPr>
        <w:widowControl w:val="0"/>
        <w:spacing w:after="0" w:line="240" w:lineRule="auto"/>
        <w:jc w:val="center"/>
        <w:rPr>
          <w:b/>
          <w:u w:val="single"/>
          <w:lang w:val="pl-PL"/>
        </w:rPr>
      </w:pPr>
    </w:p>
    <w:p w:rsidR="00152096" w:rsidRDefault="00152096">
      <w:pPr>
        <w:spacing w:line="240" w:lineRule="auto"/>
        <w:ind w:left="928"/>
        <w:rPr>
          <w:rFonts w:cs="Tahoma"/>
          <w:lang w:val="pl-PL"/>
        </w:rPr>
      </w:pPr>
    </w:p>
    <w:p w:rsidR="00152096" w:rsidRDefault="007F422A">
      <w:pPr>
        <w:pStyle w:val="Akapitzlist"/>
        <w:numPr>
          <w:ilvl w:val="0"/>
          <w:numId w:val="1"/>
        </w:numPr>
        <w:spacing w:line="240" w:lineRule="auto"/>
        <w:ind w:left="720" w:hanging="360"/>
        <w:jc w:val="both"/>
        <w:rPr>
          <w:rFonts w:ascii="Calibri" w:hAnsi="Calibri" w:cs="Tahoma"/>
          <w:color w:val="000000"/>
          <w:sz w:val="22"/>
        </w:rPr>
      </w:pPr>
      <w:r>
        <w:rPr>
          <w:rFonts w:ascii="Calibri" w:hAnsi="Calibri" w:cs="Tahoma"/>
          <w:color w:val="000000"/>
          <w:sz w:val="22"/>
        </w:rPr>
        <w:t>W odniesieniu do wykazu budynków prosimy dodatkowo o poniższe informacje tj. czy spełnione są i w jakim zakresie wymagania określone w poniższych punktach w odniesieniu do każdego budynku zawierającego elementy drewniane osobno :</w:t>
      </w: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xml:space="preserve">- Czy elementy palne konstrukcji (drewniane) są zabezpieczone impregnatem </w:t>
      </w:r>
      <w:r>
        <w:rPr>
          <w:rFonts w:ascii="Calibri" w:hAnsi="Calibri" w:cs="Tahoma"/>
          <w:sz w:val="22"/>
          <w:szCs w:val="22"/>
        </w:rPr>
        <w:br/>
        <w:t xml:space="preserve"> ogniochronnym?</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A - elementy drewniane więźby dachowej w dalekiej przeszłości były zabezpieczone ogniowo, lecz obecnie utraciły ważność od 10 lat, stropy drewniane nie były zabezpieczane</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B - elementy konstrukcyjne więźby dachowej oraz stropowe nie były zabezpieczane</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G - elementy konstrukcyjne więźby dachowej w trakcie remontu 2012 r. były częściowo wymienione i w całości zabezpieczone ogniowo przez firmę wykonawczą</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 xml:space="preserve">Budynek H - Więźba dachowa w części drewnianej nie była impregnowana. Drewniane stropy w trakcie remontów 2005-2011 były sukcesywnie okładane płytą </w:t>
      </w:r>
      <w:proofErr w:type="spellStart"/>
      <w:r>
        <w:rPr>
          <w:rFonts w:ascii="Calibri" w:hAnsi="Calibri" w:cs="Tahoma"/>
          <w:b/>
          <w:sz w:val="22"/>
          <w:szCs w:val="22"/>
        </w:rPr>
        <w:t>Promatect</w:t>
      </w:r>
      <w:proofErr w:type="spellEnd"/>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P - Konstrukcja strychu zamknięta bez dostępu, impregnacja drewna podczas wymiany i remontu w 2009 r.</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W - Konstrukcja więźby dachowej wymieniona w całości w 2008 r., z drewna impregnowanego, ponadto w całości obita płytą GK</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Budynek J - Konstrukcje więźby dachowej nie impregnowane</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Piotrkowska 191 - Konstrukcje więźby dachowej nie impregnowane, stropy nie impregnowane, brak dostępu</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 xml:space="preserve">Teatr Studyjny budynek D </w:t>
      </w:r>
      <w:r w:rsidR="00D24988">
        <w:rPr>
          <w:rFonts w:ascii="Calibri" w:hAnsi="Calibri" w:cs="Tahoma"/>
          <w:b/>
          <w:sz w:val="22"/>
          <w:szCs w:val="22"/>
        </w:rPr>
        <w:t>-</w:t>
      </w:r>
      <w:r>
        <w:rPr>
          <w:rFonts w:ascii="Calibri" w:hAnsi="Calibri" w:cs="Tahoma"/>
          <w:b/>
          <w:sz w:val="22"/>
          <w:szCs w:val="22"/>
        </w:rPr>
        <w:t xml:space="preserve"> </w:t>
      </w:r>
      <w:r w:rsidR="00D24988">
        <w:rPr>
          <w:rFonts w:ascii="Calibri" w:hAnsi="Calibri" w:cs="Tahoma"/>
          <w:b/>
          <w:sz w:val="22"/>
          <w:szCs w:val="22"/>
        </w:rPr>
        <w:t>w trakcie przebudowy - dach żelbetowy</w:t>
      </w:r>
      <w:r>
        <w:rPr>
          <w:rFonts w:ascii="Calibri" w:hAnsi="Calibri" w:cs="Tahoma"/>
          <w:b/>
          <w:sz w:val="22"/>
          <w:szCs w:val="22"/>
        </w:rPr>
        <w:t xml:space="preserve">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Teatr Studyjny budynek A - więźba dachowa wymieniona w 2012 r. z drewna impregnowanego, całość obita płytą GK</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Czy impregnacja była wykonana przez specjalizowane firmy posiadające odpowiednie certyfikaty producentów?</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Tak, wykonawca zakupił drewno impregnowane.</w:t>
      </w:r>
    </w:p>
    <w:p w:rsidR="00152096" w:rsidRDefault="00152096">
      <w:pPr>
        <w:pStyle w:val="NormalnyWeb"/>
        <w:spacing w:before="0" w:beforeAutospacing="0" w:after="0" w:afterAutospacing="0"/>
        <w:ind w:left="720"/>
        <w:jc w:val="both"/>
        <w:rPr>
          <w:rFonts w:ascii="Calibri" w:hAnsi="Calibri" w:cs="Tahoma"/>
          <w:b/>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xml:space="preserve">- Czy elementy palne są obudowane np. pokryte płytą gipsowo kartonową, tynkiem lub wylewką cementową. </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Obite są tylko więźby Teatru Studyjnego budynku A, budynku W, stropu na budynku H</w:t>
      </w:r>
    </w:p>
    <w:p w:rsidR="00416EF8" w:rsidRDefault="00416EF8" w:rsidP="0011257A">
      <w:pPr>
        <w:pStyle w:val="NormalnyWeb"/>
        <w:spacing w:before="0" w:beforeAutospacing="0" w:after="0" w:afterAutospacing="0"/>
        <w:jc w:val="both"/>
        <w:rPr>
          <w:rFonts w:ascii="Calibri" w:hAnsi="Calibri" w:cs="Tahoma"/>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xml:space="preserve">- Czy instalacja elektryczna i wszystkie elementy instalacji elektrycznej (np.: rozdzielnie , przełączniki) odizolowane od konstrukcji palnej (np.: poprzez zastosowanie </w:t>
      </w:r>
      <w:proofErr w:type="spellStart"/>
      <w:r>
        <w:rPr>
          <w:rFonts w:ascii="Calibri" w:hAnsi="Calibri" w:cs="Tahoma"/>
          <w:sz w:val="22"/>
          <w:szCs w:val="22"/>
        </w:rPr>
        <w:t>peszli</w:t>
      </w:r>
      <w:proofErr w:type="spellEnd"/>
      <w:r>
        <w:rPr>
          <w:rFonts w:ascii="Calibri" w:hAnsi="Calibri" w:cs="Tahoma"/>
          <w:sz w:val="22"/>
          <w:szCs w:val="22"/>
        </w:rPr>
        <w:t xml:space="preserve"> lub uchwytów izolujących)</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 xml:space="preserve">Instalacje elektryczne prowadzone w </w:t>
      </w:r>
      <w:proofErr w:type="spellStart"/>
      <w:r>
        <w:rPr>
          <w:rFonts w:ascii="Calibri" w:hAnsi="Calibri" w:cs="Tahoma"/>
          <w:b/>
          <w:sz w:val="22"/>
          <w:szCs w:val="22"/>
        </w:rPr>
        <w:t>peszelu</w:t>
      </w:r>
      <w:proofErr w:type="spellEnd"/>
      <w:r>
        <w:rPr>
          <w:rFonts w:ascii="Calibri" w:hAnsi="Calibri" w:cs="Tahoma"/>
          <w:b/>
          <w:sz w:val="22"/>
          <w:szCs w:val="22"/>
        </w:rPr>
        <w:t xml:space="preserve"> lub przez uchwyty izolacyjne.</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Czy są przeprowadzane regularne badania instalacji kominowej elektrycznej i piorunochronnej zgodnie z zapisami ustawy Prawo Budowlane oraz Rozporządzenia Ministra Spraw Wewnętrznych i Administracji w sprawie warunków technicznych użytkowania budynków mieszkalnych.</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Są prowadzo</w:t>
      </w:r>
      <w:r w:rsidR="00603A6A">
        <w:rPr>
          <w:rFonts w:ascii="Calibri" w:hAnsi="Calibri" w:cs="Tahoma"/>
          <w:b/>
          <w:sz w:val="22"/>
          <w:szCs w:val="22"/>
        </w:rPr>
        <w:t>ne badania przewodów kominowych,</w:t>
      </w:r>
      <w:r>
        <w:rPr>
          <w:rFonts w:ascii="Calibri" w:hAnsi="Calibri" w:cs="Tahoma"/>
          <w:b/>
          <w:sz w:val="22"/>
          <w:szCs w:val="22"/>
        </w:rPr>
        <w:t xml:space="preserve"> instalacji elektrycznej</w:t>
      </w:r>
      <w:r w:rsidR="00603A6A">
        <w:rPr>
          <w:rFonts w:ascii="Calibri" w:hAnsi="Calibri" w:cs="Tahoma"/>
          <w:b/>
          <w:sz w:val="22"/>
          <w:szCs w:val="22"/>
        </w:rPr>
        <w:t xml:space="preserve"> i piorunochronnej.</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Czy poddasze jest użytkowe, czy składowane jest na poddaszu mienie , jakiego rodzaju, czy dostęp  do poddaszy jest ogólnodostępny?</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Użytkowe są poddasza w budynkach:  W, G, Teatru Studyjnego budynku A,  częściowo w budynku B, częściowo w budynku H.  W części poddasza budynku H są składowane rekwizyty . Dostęp do pozostałych   poddaszy jest zamknięty.</w:t>
      </w:r>
    </w:p>
    <w:p w:rsidR="00152096" w:rsidRDefault="00152096">
      <w:pPr>
        <w:pStyle w:val="NormalnyWeb"/>
        <w:spacing w:before="0" w:beforeAutospacing="0" w:after="0" w:afterAutospacing="0"/>
        <w:ind w:left="720"/>
        <w:jc w:val="both"/>
        <w:rPr>
          <w:rFonts w:ascii="Calibri" w:hAnsi="Calibri" w:cs="Tahoma"/>
          <w:sz w:val="22"/>
          <w:szCs w:val="22"/>
        </w:rPr>
      </w:pP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Czy w budynkach  znajduje się kominek i / lub grill z otwartym ogniem?</w:t>
      </w:r>
    </w:p>
    <w:p w:rsidR="00152096" w:rsidRDefault="007F422A">
      <w:pPr>
        <w:pStyle w:val="NormalnyWeb"/>
        <w:spacing w:before="0" w:beforeAutospacing="0" w:after="0" w:afterAutospacing="0"/>
        <w:ind w:left="720"/>
        <w:jc w:val="both"/>
        <w:rPr>
          <w:rFonts w:ascii="Calibri" w:hAnsi="Calibri" w:cs="Tahoma"/>
          <w:sz w:val="22"/>
          <w:szCs w:val="22"/>
        </w:rPr>
      </w:pPr>
      <w:r>
        <w:rPr>
          <w:rFonts w:ascii="Calibri" w:hAnsi="Calibri" w:cs="Tahoma"/>
          <w:sz w:val="22"/>
          <w:szCs w:val="22"/>
        </w:rPr>
        <w:t xml:space="preserve"> </w:t>
      </w: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NormalnyWeb"/>
        <w:spacing w:before="0" w:beforeAutospacing="0" w:after="0" w:afterAutospacing="0"/>
        <w:ind w:left="720"/>
        <w:jc w:val="both"/>
        <w:rPr>
          <w:rFonts w:ascii="Calibri" w:hAnsi="Calibri" w:cs="Tahoma"/>
          <w:b/>
          <w:sz w:val="22"/>
          <w:szCs w:val="22"/>
        </w:rPr>
      </w:pPr>
      <w:r>
        <w:rPr>
          <w:rFonts w:ascii="Calibri" w:hAnsi="Calibri" w:cs="Tahoma"/>
          <w:b/>
          <w:sz w:val="22"/>
          <w:szCs w:val="22"/>
        </w:rPr>
        <w:t>W żadnym z budynków nie ma kominków lub grilli.</w:t>
      </w:r>
    </w:p>
    <w:p w:rsidR="00152096" w:rsidRDefault="00152096">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4D7617" w:rsidRDefault="004D7617">
      <w:pPr>
        <w:pStyle w:val="NormalnyWeb"/>
        <w:spacing w:before="0" w:beforeAutospacing="0" w:after="0" w:afterAutospacing="0"/>
        <w:jc w:val="both"/>
        <w:rPr>
          <w:rFonts w:ascii="Calibri" w:hAnsi="Calibri" w:cs="Tahoma"/>
          <w:sz w:val="22"/>
          <w:szCs w:val="22"/>
        </w:rPr>
      </w:pPr>
    </w:p>
    <w:p w:rsidR="00281158" w:rsidRDefault="00281158">
      <w:pPr>
        <w:pStyle w:val="NormalnyWeb"/>
        <w:spacing w:before="0" w:beforeAutospacing="0" w:after="0" w:afterAutospacing="0"/>
        <w:jc w:val="both"/>
        <w:rPr>
          <w:rFonts w:ascii="Calibri" w:hAnsi="Calibri" w:cs="Tahoma"/>
          <w:sz w:val="22"/>
          <w:szCs w:val="22"/>
        </w:rPr>
      </w:pPr>
    </w:p>
    <w:p w:rsidR="00281158" w:rsidRDefault="00281158">
      <w:pPr>
        <w:pStyle w:val="NormalnyWeb"/>
        <w:spacing w:before="0" w:beforeAutospacing="0" w:after="0" w:afterAutospacing="0"/>
        <w:jc w:val="both"/>
        <w:rPr>
          <w:rFonts w:ascii="Calibri" w:hAnsi="Calibri" w:cs="Tahoma"/>
          <w:sz w:val="22"/>
          <w:szCs w:val="22"/>
        </w:rPr>
      </w:pPr>
    </w:p>
    <w:p w:rsidR="00281158" w:rsidRDefault="00281158">
      <w:pPr>
        <w:pStyle w:val="NormalnyWeb"/>
        <w:spacing w:before="0" w:beforeAutospacing="0" w:after="0" w:afterAutospacing="0"/>
        <w:jc w:val="both"/>
        <w:rPr>
          <w:rFonts w:ascii="Calibri" w:hAnsi="Calibri" w:cs="Tahoma"/>
          <w:sz w:val="22"/>
          <w:szCs w:val="22"/>
        </w:rPr>
      </w:pPr>
    </w:p>
    <w:p w:rsidR="00281158" w:rsidRDefault="00281158">
      <w:pPr>
        <w:pStyle w:val="NormalnyWeb"/>
        <w:spacing w:before="0" w:beforeAutospacing="0" w:after="0" w:afterAutospacing="0"/>
        <w:jc w:val="both"/>
        <w:rPr>
          <w:rFonts w:ascii="Calibri" w:hAnsi="Calibri" w:cs="Tahoma"/>
          <w:sz w:val="22"/>
          <w:szCs w:val="22"/>
        </w:rPr>
      </w:pPr>
    </w:p>
    <w:p w:rsidR="00281158" w:rsidRDefault="00281158">
      <w:pPr>
        <w:pStyle w:val="NormalnyWeb"/>
        <w:spacing w:before="0" w:beforeAutospacing="0" w:after="0" w:afterAutospacing="0"/>
        <w:jc w:val="both"/>
        <w:rPr>
          <w:rFonts w:ascii="Calibri" w:hAnsi="Calibri" w:cs="Tahoma"/>
          <w:sz w:val="22"/>
          <w:szCs w:val="22"/>
        </w:rPr>
      </w:pPr>
    </w:p>
    <w:p w:rsidR="00601568" w:rsidRDefault="00601568" w:rsidP="00601568">
      <w:pPr>
        <w:pStyle w:val="NormalnyWeb"/>
        <w:spacing w:before="0" w:beforeAutospacing="0" w:after="0" w:afterAutospacing="0"/>
        <w:jc w:val="both"/>
        <w:rPr>
          <w:rFonts w:ascii="Calibri" w:hAnsi="Calibri" w:cs="Tahoma"/>
          <w:sz w:val="22"/>
          <w:szCs w:val="22"/>
        </w:rPr>
        <w:sectPr w:rsidR="00601568" w:rsidSect="00601568">
          <w:pgSz w:w="11900" w:h="16834"/>
          <w:pgMar w:top="720" w:right="720" w:bottom="720" w:left="720" w:header="708" w:footer="708" w:gutter="0"/>
          <w:cols w:space="708"/>
        </w:sectPr>
      </w:pPr>
    </w:p>
    <w:p w:rsidR="00601568" w:rsidRDefault="00601568" w:rsidP="00601568">
      <w:pPr>
        <w:pStyle w:val="NormalnyWeb"/>
        <w:numPr>
          <w:ilvl w:val="0"/>
          <w:numId w:val="1"/>
        </w:numPr>
        <w:spacing w:before="0" w:beforeAutospacing="0" w:after="0" w:afterAutospacing="0"/>
        <w:ind w:left="720" w:hanging="360"/>
        <w:jc w:val="both"/>
        <w:rPr>
          <w:rFonts w:ascii="Calibri" w:hAnsi="Calibri" w:cs="Tahoma"/>
          <w:sz w:val="22"/>
          <w:szCs w:val="22"/>
        </w:rPr>
      </w:pPr>
      <w:r>
        <w:rPr>
          <w:rFonts w:ascii="Calibri" w:hAnsi="Calibri" w:cs="Tahoma"/>
          <w:sz w:val="22"/>
          <w:szCs w:val="22"/>
        </w:rPr>
        <w:lastRenderedPageBreak/>
        <w:t>Prosimy o opis zabezpieczeń przeciwpożarowych osobno do każdej lokalizacji.</w:t>
      </w:r>
    </w:p>
    <w:p w:rsidR="00601568" w:rsidRDefault="00601568" w:rsidP="004D7617">
      <w:pPr>
        <w:pStyle w:val="NormalnyWeb"/>
        <w:spacing w:before="0" w:beforeAutospacing="0" w:after="0" w:afterAutospacing="0"/>
        <w:jc w:val="both"/>
        <w:rPr>
          <w:rFonts w:ascii="Calibri" w:hAnsi="Calibri" w:cs="Tahoma"/>
          <w:sz w:val="22"/>
          <w:szCs w:val="22"/>
        </w:rPr>
      </w:pPr>
    </w:p>
    <w:p w:rsidR="00281158" w:rsidRDefault="00281158" w:rsidP="004D7617">
      <w:pPr>
        <w:pStyle w:val="NormalnyWeb"/>
        <w:spacing w:before="0" w:beforeAutospacing="0" w:after="0" w:afterAutospacing="0"/>
        <w:jc w:val="both"/>
        <w:rPr>
          <w:rFonts w:ascii="Calibri" w:hAnsi="Calibri" w:cs="Tahoma"/>
          <w:sz w:val="22"/>
          <w:szCs w:val="22"/>
        </w:rPr>
      </w:pPr>
    </w:p>
    <w:tbl>
      <w:tblPr>
        <w:tblStyle w:val="GridTable4"/>
        <w:tblW w:w="15163" w:type="dxa"/>
        <w:jc w:val="center"/>
        <w:tblLayout w:type="fixed"/>
        <w:tblLook w:val="00A0"/>
      </w:tblPr>
      <w:tblGrid>
        <w:gridCol w:w="562"/>
        <w:gridCol w:w="1843"/>
        <w:gridCol w:w="851"/>
        <w:gridCol w:w="992"/>
        <w:gridCol w:w="992"/>
        <w:gridCol w:w="1559"/>
        <w:gridCol w:w="1843"/>
        <w:gridCol w:w="1418"/>
        <w:gridCol w:w="1701"/>
        <w:gridCol w:w="1559"/>
        <w:gridCol w:w="1843"/>
      </w:tblGrid>
      <w:tr w:rsidR="00CD4038" w:rsidRPr="002167AC" w:rsidTr="0021722F">
        <w:trPr>
          <w:cnfStyle w:val="100000000000"/>
          <w:jc w:val="center"/>
        </w:trPr>
        <w:tc>
          <w:tcPr>
            <w:cnfStyle w:val="001000000000"/>
            <w:tcW w:w="562"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4"/>
                <w:szCs w:val="18"/>
              </w:rPr>
              <w:t>L.P.</w:t>
            </w:r>
          </w:p>
        </w:tc>
        <w:tc>
          <w:tcPr>
            <w:cnfStyle w:val="000010000000"/>
            <w:tcW w:w="1843"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Przedmiot ubezpieczenia</w:t>
            </w:r>
          </w:p>
        </w:tc>
        <w:tc>
          <w:tcPr>
            <w:tcW w:w="851" w:type="dxa"/>
            <w:vAlign w:val="center"/>
          </w:tcPr>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Pow. użytkowa</w:t>
            </w:r>
          </w:p>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 xml:space="preserve">w </w:t>
            </w:r>
            <w:r w:rsidRPr="00CD4038">
              <w:rPr>
                <w:rFonts w:ascii="Cambria" w:hAnsi="Cambria"/>
                <w:b w:val="0"/>
                <w:bCs w:val="0"/>
                <w:color w:val="FFFFFF" w:themeColor="background1"/>
                <w:sz w:val="16"/>
                <w:szCs w:val="18"/>
              </w:rPr>
              <w:t>m2</w:t>
            </w:r>
          </w:p>
        </w:tc>
        <w:tc>
          <w:tcPr>
            <w:cnfStyle w:val="000010000000"/>
            <w:tcW w:w="992"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 xml:space="preserve">Kubatura w  </w:t>
            </w:r>
            <w:r w:rsidRPr="00CD4038">
              <w:rPr>
                <w:rFonts w:ascii="Cambria" w:hAnsi="Cambria"/>
                <w:b w:val="0"/>
                <w:bCs w:val="0"/>
                <w:color w:val="FFFFFF" w:themeColor="background1"/>
                <w:sz w:val="16"/>
                <w:szCs w:val="18"/>
              </w:rPr>
              <w:t>m3</w:t>
            </w:r>
          </w:p>
        </w:tc>
        <w:tc>
          <w:tcPr>
            <w:tcW w:w="992" w:type="dxa"/>
            <w:vAlign w:val="center"/>
          </w:tcPr>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Rok</w:t>
            </w:r>
          </w:p>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Budowy/  remontu</w:t>
            </w:r>
          </w:p>
        </w:tc>
        <w:tc>
          <w:tcPr>
            <w:cnfStyle w:val="000010000000"/>
            <w:tcW w:w="1559"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Materiał</w:t>
            </w:r>
          </w:p>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ścian</w:t>
            </w:r>
          </w:p>
        </w:tc>
        <w:tc>
          <w:tcPr>
            <w:tcW w:w="1843" w:type="dxa"/>
            <w:vAlign w:val="center"/>
          </w:tcPr>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Konstrukcja nośna</w:t>
            </w:r>
          </w:p>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stropów</w:t>
            </w:r>
          </w:p>
        </w:tc>
        <w:tc>
          <w:tcPr>
            <w:cnfStyle w:val="000010000000"/>
            <w:tcW w:w="1418"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Konstrukcja nośna dachu</w:t>
            </w:r>
          </w:p>
        </w:tc>
        <w:tc>
          <w:tcPr>
            <w:tcW w:w="1701" w:type="dxa"/>
            <w:vAlign w:val="center"/>
          </w:tcPr>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Pokrycie</w:t>
            </w:r>
          </w:p>
          <w:p w:rsidR="00CD4038" w:rsidRPr="00CD4038" w:rsidRDefault="00CD4038" w:rsidP="00601568">
            <w:pPr>
              <w:pStyle w:val="Akapitzlist"/>
              <w:spacing w:after="60" w:line="240" w:lineRule="auto"/>
              <w:ind w:left="0"/>
              <w:jc w:val="center"/>
              <w:cnfStyle w:val="100000000000"/>
              <w:rPr>
                <w:rFonts w:ascii="Cambria" w:hAnsi="Cambria"/>
                <w:b w:val="0"/>
                <w:bCs w:val="0"/>
                <w:color w:val="FFFFFF" w:themeColor="background1"/>
                <w:sz w:val="16"/>
                <w:szCs w:val="18"/>
              </w:rPr>
            </w:pPr>
            <w:r w:rsidRPr="00CD4038">
              <w:rPr>
                <w:rFonts w:ascii="Cambria" w:hAnsi="Cambria"/>
                <w:color w:val="FFFFFF" w:themeColor="background1"/>
                <w:sz w:val="16"/>
                <w:szCs w:val="18"/>
              </w:rPr>
              <w:t>dachu</w:t>
            </w:r>
          </w:p>
        </w:tc>
        <w:tc>
          <w:tcPr>
            <w:cnfStyle w:val="000010000000"/>
            <w:tcW w:w="1559" w:type="dxa"/>
            <w:vAlign w:val="center"/>
          </w:tcPr>
          <w:p w:rsidR="00CD4038" w:rsidRPr="00CD4038" w:rsidRDefault="00CD4038" w:rsidP="00601568">
            <w:pPr>
              <w:pStyle w:val="Akapitzlist"/>
              <w:spacing w:after="60" w:line="240" w:lineRule="auto"/>
              <w:ind w:left="0"/>
              <w:jc w:val="center"/>
              <w:rPr>
                <w:rFonts w:ascii="Cambria" w:hAnsi="Cambria"/>
                <w:b w:val="0"/>
                <w:bCs w:val="0"/>
                <w:color w:val="FFFFFF" w:themeColor="background1"/>
                <w:sz w:val="16"/>
                <w:szCs w:val="18"/>
              </w:rPr>
            </w:pPr>
            <w:r w:rsidRPr="00CD4038">
              <w:rPr>
                <w:rFonts w:ascii="Cambria" w:hAnsi="Cambria"/>
                <w:color w:val="FFFFFF" w:themeColor="background1"/>
                <w:sz w:val="16"/>
                <w:szCs w:val="18"/>
              </w:rPr>
              <w:t>Wartość odtworzeniowa</w:t>
            </w:r>
          </w:p>
        </w:tc>
        <w:tc>
          <w:tcPr>
            <w:tcW w:w="1843" w:type="dxa"/>
          </w:tcPr>
          <w:p w:rsidR="00CD4038" w:rsidRPr="00CD4038" w:rsidRDefault="00CD4038" w:rsidP="00601568">
            <w:pPr>
              <w:pStyle w:val="Akapitzlist"/>
              <w:spacing w:after="60" w:line="240" w:lineRule="auto"/>
              <w:ind w:left="0"/>
              <w:jc w:val="center"/>
              <w:cnfStyle w:val="100000000000"/>
              <w:rPr>
                <w:rFonts w:ascii="Cambria" w:hAnsi="Cambria"/>
                <w:color w:val="FFFFFF" w:themeColor="background1"/>
                <w:sz w:val="16"/>
                <w:szCs w:val="18"/>
              </w:rPr>
            </w:pPr>
            <w:r>
              <w:rPr>
                <w:rFonts w:ascii="Cambria" w:hAnsi="Cambria"/>
                <w:color w:val="FFFFFF" w:themeColor="background1"/>
                <w:sz w:val="16"/>
                <w:szCs w:val="18"/>
              </w:rPr>
              <w:t>Zabezpieczenia przeciwpożarowe</w:t>
            </w:r>
          </w:p>
        </w:tc>
      </w:tr>
      <w:tr w:rsidR="00CD4038" w:rsidRPr="002167AC" w:rsidTr="0021722F">
        <w:trPr>
          <w:cnfStyle w:val="000000100000"/>
          <w:jc w:val="center"/>
        </w:trPr>
        <w:tc>
          <w:tcPr>
            <w:cnfStyle w:val="001000000000"/>
            <w:tcW w:w="13320" w:type="dxa"/>
            <w:gridSpan w:val="10"/>
          </w:tcPr>
          <w:p w:rsidR="00CD4038" w:rsidRPr="002167AC" w:rsidRDefault="00CD4038" w:rsidP="00601568">
            <w:pPr>
              <w:pStyle w:val="Akapitzlist"/>
              <w:tabs>
                <w:tab w:val="left" w:pos="2454"/>
                <w:tab w:val="center" w:pos="7686"/>
              </w:tabs>
              <w:spacing w:after="60" w:line="240" w:lineRule="auto"/>
              <w:ind w:left="0"/>
              <w:rPr>
                <w:rFonts w:ascii="Cambria" w:hAnsi="Cambria"/>
                <w:b w:val="0"/>
                <w:bCs w:val="0"/>
                <w:color w:val="000000" w:themeColor="text1"/>
                <w:szCs w:val="18"/>
              </w:rPr>
            </w:pPr>
            <w:r>
              <w:rPr>
                <w:rFonts w:ascii="Cambria" w:hAnsi="Cambria"/>
                <w:color w:val="000000" w:themeColor="text1"/>
                <w:szCs w:val="18"/>
              </w:rPr>
              <w:tab/>
            </w:r>
            <w:r>
              <w:rPr>
                <w:rFonts w:ascii="Cambria" w:hAnsi="Cambria"/>
                <w:color w:val="000000" w:themeColor="text1"/>
                <w:szCs w:val="18"/>
              </w:rPr>
              <w:tab/>
            </w:r>
            <w:r w:rsidRPr="002167AC">
              <w:rPr>
                <w:rFonts w:ascii="Cambria" w:hAnsi="Cambria"/>
                <w:color w:val="000000" w:themeColor="text1"/>
                <w:szCs w:val="18"/>
              </w:rPr>
              <w:t>ul. Targowa 61/63</w:t>
            </w:r>
          </w:p>
        </w:tc>
        <w:tc>
          <w:tcPr>
            <w:cnfStyle w:val="000010000000"/>
            <w:tcW w:w="1843" w:type="dxa"/>
          </w:tcPr>
          <w:p w:rsidR="00CD4038" w:rsidRDefault="00CD4038" w:rsidP="00601568">
            <w:pPr>
              <w:pStyle w:val="Akapitzlist"/>
              <w:tabs>
                <w:tab w:val="left" w:pos="2454"/>
                <w:tab w:val="center" w:pos="7686"/>
              </w:tabs>
              <w:spacing w:after="60" w:line="240" w:lineRule="auto"/>
              <w:ind w:left="0"/>
              <w:rPr>
                <w:rFonts w:ascii="Cambria" w:hAnsi="Cambria"/>
                <w:color w:val="000000" w:themeColor="text1"/>
                <w:szCs w:val="18"/>
              </w:rPr>
            </w:pP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1</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„E”</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Warsztat</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115,00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445,00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parterowy</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 stalowa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 na deskowaniu</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345 000,00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2</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 xml:space="preserve">Budynek „Z” </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Hale Zdjęciowe</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3306,40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12133,00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2003</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 żelbetowa, płyta warstwowa z wełny mineralnej</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 stalowa nad halami</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 xml:space="preserve"> Papa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16 532 000,00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Instalacja tryskaczowa, system sygnalizacji pożaru, system oddymiania klatek schodowych, gaśnice, hydranty wewnętrzne</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3</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Główny „A”</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Rektorat</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1 411,00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8 200,00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Drewniana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 xml:space="preserve"> Blacha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11 993 500,00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hydranty wewnętrzne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4</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„B”</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Administracja</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979,00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4 510,00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Drewniana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Blacha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4 885 000,00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5</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„D”</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Montaż</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223,60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890,00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parterowy</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894 400,00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6</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„G”</w:t>
            </w:r>
          </w:p>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Salon multimedialny</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153,16</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758,62</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2012</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Drewniana, nad piwnicami ceramiczny</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Blacha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1 301 860,00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7</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„H” Wydział Aktorski</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3 347,20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19 590,00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Drewniana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Blacha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15 062 400,00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System sygnalizacji pożaru, system oddymiania klatek schodowych, gaśnice, hydranty wewnętrzne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8</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Ogrodzenie przy ul. Targowej</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2012/13</w:t>
            </w:r>
          </w:p>
        </w:tc>
        <w:tc>
          <w:tcPr>
            <w:cnfStyle w:val="000010000000"/>
            <w:tcW w:w="6521" w:type="dxa"/>
            <w:gridSpan w:val="4"/>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Murowane, cegła klinkierowa, przęsła metalowe</w:t>
            </w:r>
          </w:p>
        </w:tc>
        <w:tc>
          <w:tcPr>
            <w:tcW w:w="1559"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400 000,00</w:t>
            </w:r>
          </w:p>
        </w:tc>
        <w:tc>
          <w:tcPr>
            <w:cnfStyle w:val="000010000000"/>
            <w:tcW w:w="1843" w:type="dxa"/>
          </w:tcPr>
          <w:p w:rsidR="007E0204" w:rsidRPr="00CD4038" w:rsidRDefault="007E0204" w:rsidP="007E0204">
            <w:pPr>
              <w:pStyle w:val="Akapitzlist"/>
              <w:spacing w:after="60" w:line="240" w:lineRule="auto"/>
              <w:ind w:left="0"/>
              <w:jc w:val="right"/>
              <w:rPr>
                <w:rFonts w:ascii="Cambria" w:hAnsi="Cambria"/>
                <w:color w:val="000000" w:themeColor="text1"/>
                <w:sz w:val="16"/>
                <w:szCs w:val="16"/>
              </w:rPr>
            </w:pP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9</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„J” Zakład Produkcji</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623,00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2 950,00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Drewniana i ceramiczne</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Blacha, 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3 738 000,00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czujki dymowe, dodatkowo w archiwum na parterze: centralka ppoż., system sygnalizacji pożaru</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10</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Ogrodzenie od strony Targowej (gimnazjum)</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p>
        </w:tc>
        <w:tc>
          <w:tcPr>
            <w:cnfStyle w:val="000010000000"/>
            <w:tcW w:w="6521" w:type="dxa"/>
            <w:gridSpan w:val="4"/>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Murowane, cegła klinkierowa, przęsła metalowe</w:t>
            </w:r>
          </w:p>
        </w:tc>
        <w:tc>
          <w:tcPr>
            <w:tcW w:w="1559"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10 000,00</w:t>
            </w:r>
          </w:p>
        </w:tc>
        <w:tc>
          <w:tcPr>
            <w:cnfStyle w:val="000010000000"/>
            <w:tcW w:w="1843"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11</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proofErr w:type="spellStart"/>
            <w:r w:rsidRPr="00CD4038">
              <w:rPr>
                <w:rFonts w:ascii="Cambria" w:hAnsi="Cambria"/>
                <w:color w:val="000000" w:themeColor="text1"/>
                <w:sz w:val="16"/>
                <w:szCs w:val="16"/>
              </w:rPr>
              <w:t>Trafostacja</w:t>
            </w:r>
            <w:proofErr w:type="spellEnd"/>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48,00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318,00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144 000,00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sidRPr="00CD4038">
              <w:rPr>
                <w:rFonts w:ascii="Cambria" w:hAnsi="Cambria"/>
                <w:color w:val="000000" w:themeColor="text1"/>
                <w:sz w:val="16"/>
                <w:szCs w:val="16"/>
              </w:rPr>
              <w:t>12</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„P” Portiernia</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31,70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195,00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2009</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 ocieplane styropianem</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 xml:space="preserve"> Blacha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190 200,00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jc w:val="center"/>
        </w:trPr>
        <w:tc>
          <w:tcPr>
            <w:cnfStyle w:val="001000000000"/>
            <w:tcW w:w="13320" w:type="dxa"/>
            <w:gridSpan w:val="10"/>
          </w:tcPr>
          <w:p w:rsidR="00CD4038" w:rsidRPr="00CD4038" w:rsidRDefault="00CD4038" w:rsidP="00601568">
            <w:pPr>
              <w:pStyle w:val="Akapitzlist"/>
              <w:spacing w:after="60" w:line="240" w:lineRule="auto"/>
              <w:ind w:left="0"/>
              <w:jc w:val="center"/>
              <w:rPr>
                <w:rFonts w:ascii="Cambria" w:hAnsi="Cambria"/>
                <w:b w:val="0"/>
                <w:color w:val="000000" w:themeColor="text1"/>
                <w:sz w:val="16"/>
                <w:szCs w:val="16"/>
              </w:rPr>
            </w:pPr>
            <w:r w:rsidRPr="00CD4038">
              <w:rPr>
                <w:rFonts w:ascii="Cambria" w:hAnsi="Cambria"/>
                <w:sz w:val="16"/>
                <w:szCs w:val="16"/>
              </w:rPr>
              <w:t>ul. Targowa 57</w:t>
            </w:r>
          </w:p>
        </w:tc>
        <w:tc>
          <w:tcPr>
            <w:cnfStyle w:val="000010000000"/>
            <w:tcW w:w="1843" w:type="dxa"/>
            <w:shd w:val="clear" w:color="auto" w:fill="auto"/>
          </w:tcPr>
          <w:p w:rsidR="00CD4038" w:rsidRPr="00CD4038" w:rsidRDefault="00CD4038" w:rsidP="00601568">
            <w:pPr>
              <w:pStyle w:val="Akapitzlist"/>
              <w:spacing w:after="60" w:line="240" w:lineRule="auto"/>
              <w:ind w:left="0"/>
              <w:jc w:val="center"/>
              <w:rPr>
                <w:rFonts w:ascii="Cambria" w:hAnsi="Cambria"/>
                <w:sz w:val="16"/>
                <w:szCs w:val="16"/>
              </w:rPr>
            </w:pP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1</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 xml:space="preserve">Budynek „W” Dom </w:t>
            </w:r>
            <w:proofErr w:type="spellStart"/>
            <w:r w:rsidRPr="00CD4038">
              <w:rPr>
                <w:rFonts w:ascii="Cambria" w:hAnsi="Cambria"/>
                <w:color w:val="000000" w:themeColor="text1"/>
                <w:sz w:val="16"/>
                <w:szCs w:val="16"/>
              </w:rPr>
              <w:t>Guzego</w:t>
            </w:r>
            <w:proofErr w:type="spellEnd"/>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772,00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4 468,00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2010</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 ceramiczne</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Blacha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6 562 000,00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2</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„U” Laboratoria Naukowo Badawcze</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57,83</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351,60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2011</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parterowy</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260 235,00</w:t>
            </w:r>
          </w:p>
        </w:tc>
        <w:tc>
          <w:tcPr>
            <w:tcW w:w="1843" w:type="dxa"/>
            <w:shd w:val="clear" w:color="auto" w:fill="FFFFFF" w:themeFill="background1"/>
          </w:tcPr>
          <w:p w:rsidR="00CD4038" w:rsidRPr="00CD4038" w:rsidRDefault="007E0204"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proszkowe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lastRenderedPageBreak/>
              <w:t>3</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„X” Uczelniane Centrum Dydaktyki Nowych Mediów</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5 820,70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28 000,00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2011</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 żelbetowa, płyta warstwowa z wełny mineralnej</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Folia dachowa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29 103 500,00</w:t>
            </w:r>
          </w:p>
        </w:tc>
        <w:tc>
          <w:tcPr>
            <w:tcW w:w="1843" w:type="dxa"/>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hydranty wewnętrzne, system oddymiania klatek schodowych, system sygnalizacji pożaru</w:t>
            </w:r>
          </w:p>
        </w:tc>
      </w:tr>
      <w:tr w:rsidR="00CD4038" w:rsidRPr="002167AC" w:rsidTr="0021722F">
        <w:trPr>
          <w:jc w:val="center"/>
        </w:trPr>
        <w:tc>
          <w:tcPr>
            <w:cnfStyle w:val="001000000000"/>
            <w:tcW w:w="13320" w:type="dxa"/>
            <w:gridSpan w:val="10"/>
          </w:tcPr>
          <w:p w:rsidR="00CD4038" w:rsidRPr="00CD4038" w:rsidRDefault="00CD4038" w:rsidP="00601568">
            <w:pPr>
              <w:pStyle w:val="Akapitzlist"/>
              <w:spacing w:after="60" w:line="240" w:lineRule="auto"/>
              <w:ind w:left="0"/>
              <w:jc w:val="center"/>
              <w:rPr>
                <w:rFonts w:ascii="Cambria" w:hAnsi="Cambria"/>
                <w:b w:val="0"/>
                <w:color w:val="000000" w:themeColor="text1"/>
                <w:sz w:val="16"/>
                <w:szCs w:val="16"/>
              </w:rPr>
            </w:pPr>
            <w:r w:rsidRPr="00CD4038">
              <w:rPr>
                <w:rFonts w:ascii="Cambria" w:hAnsi="Cambria"/>
                <w:color w:val="000000" w:themeColor="text1"/>
                <w:sz w:val="16"/>
                <w:szCs w:val="16"/>
              </w:rPr>
              <w:t>Teatr Studyjny, ul. Kopernika 8 , ul. Gdańska 110</w:t>
            </w:r>
          </w:p>
        </w:tc>
        <w:tc>
          <w:tcPr>
            <w:cnfStyle w:val="000010000000"/>
            <w:tcW w:w="1843" w:type="dxa"/>
            <w:shd w:val="clear" w:color="auto" w:fill="auto"/>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sidRPr="00CD4038">
              <w:rPr>
                <w:rFonts w:ascii="Cambria" w:hAnsi="Cambria"/>
                <w:color w:val="000000" w:themeColor="text1"/>
                <w:sz w:val="16"/>
                <w:szCs w:val="16"/>
              </w:rPr>
              <w:t>1</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highlight w:val="yellow"/>
              </w:rPr>
            </w:pPr>
            <w:r w:rsidRPr="00CD4038">
              <w:rPr>
                <w:rFonts w:ascii="Cambria" w:hAnsi="Cambria"/>
                <w:color w:val="000000" w:themeColor="text1"/>
                <w:sz w:val="16"/>
                <w:szCs w:val="16"/>
              </w:rPr>
              <w:t>Budynek murowany zadaszony B</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914,79</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5427,00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2011</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sz w:val="16"/>
                <w:szCs w:val="16"/>
              </w:rPr>
              <w:t>Żelbetowa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4 116 555,00</w:t>
            </w:r>
          </w:p>
        </w:tc>
        <w:tc>
          <w:tcPr>
            <w:tcW w:w="1843" w:type="dxa"/>
          </w:tcPr>
          <w:p w:rsidR="00CD4038" w:rsidRPr="00CD4038" w:rsidRDefault="00F25F3D"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hydranty wewnętrzne</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2</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highlight w:val="yellow"/>
              </w:rPr>
            </w:pPr>
            <w:r w:rsidRPr="00CD4038">
              <w:rPr>
                <w:rFonts w:ascii="Cambria" w:hAnsi="Cambria"/>
                <w:color w:val="000000" w:themeColor="text1"/>
                <w:sz w:val="16"/>
                <w:szCs w:val="16"/>
              </w:rPr>
              <w:t>Budynek murowany D</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96,61</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632,00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434 745,00</w:t>
            </w:r>
          </w:p>
        </w:tc>
        <w:tc>
          <w:tcPr>
            <w:tcW w:w="1843" w:type="dxa"/>
            <w:shd w:val="clear" w:color="auto" w:fill="FFFFFF" w:themeFill="background1"/>
          </w:tcPr>
          <w:p w:rsidR="00CD4038" w:rsidRPr="00CD4038" w:rsidRDefault="00F25F3D"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hydranty wewnętrzne</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3</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highlight w:val="yellow"/>
              </w:rPr>
            </w:pPr>
            <w:r w:rsidRPr="00CD4038">
              <w:rPr>
                <w:rFonts w:ascii="Cambria" w:hAnsi="Cambria"/>
                <w:color w:val="000000" w:themeColor="text1"/>
                <w:sz w:val="16"/>
                <w:szCs w:val="16"/>
              </w:rPr>
              <w:t xml:space="preserve">Budynek murowany C   </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214,33</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1054,00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2013</w:t>
            </w: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sz w:val="16"/>
                <w:szCs w:val="16"/>
              </w:rPr>
              <w:t>Żelbetowa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1 071 650,00</w:t>
            </w:r>
          </w:p>
        </w:tc>
        <w:tc>
          <w:tcPr>
            <w:tcW w:w="1843" w:type="dxa"/>
          </w:tcPr>
          <w:p w:rsidR="00CD4038" w:rsidRPr="00CD4038" w:rsidRDefault="00F25F3D" w:rsidP="00F25F3D">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System oddymiania klatek schodowych</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4</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highlight w:val="yellow"/>
              </w:rPr>
            </w:pPr>
            <w:r w:rsidRPr="00CD4038">
              <w:rPr>
                <w:rFonts w:ascii="Cambria" w:hAnsi="Cambria"/>
                <w:color w:val="000000" w:themeColor="text1"/>
                <w:sz w:val="16"/>
                <w:szCs w:val="16"/>
              </w:rPr>
              <w:t>Budynek murowany frontowy A</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321,00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2 352,00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2012</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Papa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1 606 550,00</w:t>
            </w:r>
          </w:p>
        </w:tc>
        <w:tc>
          <w:tcPr>
            <w:tcW w:w="1843" w:type="dxa"/>
            <w:shd w:val="clear" w:color="auto" w:fill="FFFFFF" w:themeFill="background1"/>
          </w:tcPr>
          <w:p w:rsidR="00CD4038" w:rsidRPr="00CD4038" w:rsidRDefault="00F25F3D" w:rsidP="00F25F3D">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System oddymiania klatek schodowych</w:t>
            </w:r>
          </w:p>
        </w:tc>
      </w:tr>
      <w:tr w:rsidR="00CD4038" w:rsidRPr="002167AC" w:rsidTr="0021722F">
        <w:trPr>
          <w:cnfStyle w:val="000000100000"/>
          <w:jc w:val="center"/>
        </w:trPr>
        <w:tc>
          <w:tcPr>
            <w:cnfStyle w:val="001000000000"/>
            <w:tcW w:w="562" w:type="dxa"/>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5</w:t>
            </w:r>
          </w:p>
        </w:tc>
        <w:tc>
          <w:tcPr>
            <w:cnfStyle w:val="000010000000"/>
            <w:tcW w:w="1843" w:type="dxa"/>
          </w:tcPr>
          <w:p w:rsidR="00CD4038" w:rsidRPr="00CD4038" w:rsidRDefault="00CD4038" w:rsidP="00601568">
            <w:pPr>
              <w:pStyle w:val="Akapitzlist"/>
              <w:spacing w:after="60" w:line="240" w:lineRule="auto"/>
              <w:ind w:left="0"/>
              <w:rPr>
                <w:rFonts w:ascii="Cambria" w:hAnsi="Cambria"/>
                <w:color w:val="000000" w:themeColor="text1"/>
                <w:sz w:val="16"/>
                <w:szCs w:val="16"/>
                <w:highlight w:val="yellow"/>
              </w:rPr>
            </w:pPr>
            <w:r w:rsidRPr="00CD4038">
              <w:rPr>
                <w:rFonts w:ascii="Cambria" w:hAnsi="Cambria"/>
                <w:color w:val="000000" w:themeColor="text1"/>
                <w:sz w:val="16"/>
                <w:szCs w:val="16"/>
              </w:rPr>
              <w:t>Budynek murowany J</w:t>
            </w:r>
          </w:p>
        </w:tc>
        <w:tc>
          <w:tcPr>
            <w:tcW w:w="851" w:type="dxa"/>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96,70</w:t>
            </w:r>
          </w:p>
        </w:tc>
        <w:tc>
          <w:tcPr>
            <w:cnfStyle w:val="000010000000"/>
            <w:tcW w:w="992"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477,00</w:t>
            </w:r>
          </w:p>
        </w:tc>
        <w:tc>
          <w:tcPr>
            <w:tcW w:w="992"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p>
        </w:tc>
        <w:tc>
          <w:tcPr>
            <w:cnfStyle w:val="000010000000"/>
            <w:tcW w:w="1559"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Murowana</w:t>
            </w:r>
          </w:p>
        </w:tc>
        <w:tc>
          <w:tcPr>
            <w:tcW w:w="1843"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sz w:val="16"/>
                <w:szCs w:val="16"/>
              </w:rPr>
              <w:t>Parterowy</w:t>
            </w:r>
          </w:p>
        </w:tc>
        <w:tc>
          <w:tcPr>
            <w:cnfStyle w:val="000010000000"/>
            <w:tcW w:w="1418" w:type="dxa"/>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sz w:val="16"/>
                <w:szCs w:val="16"/>
              </w:rPr>
              <w:t>Stalowa</w:t>
            </w:r>
          </w:p>
        </w:tc>
        <w:tc>
          <w:tcPr>
            <w:tcW w:w="1701" w:type="dxa"/>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Płyta falista</w:t>
            </w:r>
          </w:p>
        </w:tc>
        <w:tc>
          <w:tcPr>
            <w:cnfStyle w:val="000010000000"/>
            <w:tcW w:w="1559" w:type="dxa"/>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145 050,00</w:t>
            </w:r>
          </w:p>
        </w:tc>
        <w:tc>
          <w:tcPr>
            <w:tcW w:w="1843" w:type="dxa"/>
          </w:tcPr>
          <w:p w:rsidR="00CD4038" w:rsidRPr="00CD4038" w:rsidRDefault="00F25F3D"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hydranty wewnętrzne</w:t>
            </w:r>
          </w:p>
        </w:tc>
      </w:tr>
      <w:tr w:rsidR="00CD4038" w:rsidRPr="002167AC" w:rsidTr="0021722F">
        <w:trPr>
          <w:jc w:val="center"/>
        </w:trPr>
        <w:tc>
          <w:tcPr>
            <w:cnfStyle w:val="001000000000"/>
            <w:tcW w:w="13320" w:type="dxa"/>
            <w:gridSpan w:val="10"/>
          </w:tcPr>
          <w:p w:rsidR="00CD4038" w:rsidRPr="00CD4038" w:rsidRDefault="00CD4038" w:rsidP="00601568">
            <w:pPr>
              <w:pStyle w:val="Akapitzlist"/>
              <w:spacing w:after="60" w:line="240" w:lineRule="auto"/>
              <w:ind w:left="0"/>
              <w:jc w:val="center"/>
              <w:rPr>
                <w:rFonts w:ascii="Cambria" w:hAnsi="Cambria"/>
                <w:b w:val="0"/>
                <w:color w:val="000000" w:themeColor="text1"/>
                <w:sz w:val="16"/>
                <w:szCs w:val="16"/>
              </w:rPr>
            </w:pPr>
            <w:r w:rsidRPr="00CD4038">
              <w:rPr>
                <w:rFonts w:ascii="Cambria" w:hAnsi="Cambria"/>
                <w:color w:val="000000" w:themeColor="text1"/>
                <w:sz w:val="16"/>
                <w:szCs w:val="16"/>
              </w:rPr>
              <w:t>Dom Studenta, Piotrkowska 189/191</w:t>
            </w:r>
          </w:p>
        </w:tc>
        <w:tc>
          <w:tcPr>
            <w:cnfStyle w:val="000010000000"/>
            <w:tcW w:w="1843" w:type="dxa"/>
            <w:shd w:val="clear" w:color="auto" w:fill="auto"/>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p>
        </w:tc>
      </w:tr>
      <w:tr w:rsidR="00CD4038" w:rsidRPr="002167AC" w:rsidTr="0021722F">
        <w:trPr>
          <w:cnfStyle w:val="000000100000"/>
          <w:jc w:val="center"/>
        </w:trPr>
        <w:tc>
          <w:tcPr>
            <w:cnfStyle w:val="001000000000"/>
            <w:tcW w:w="562" w:type="dxa"/>
            <w:shd w:val="clear" w:color="auto" w:fill="D9D9D9" w:themeFill="background1" w:themeFillShade="D9"/>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1</w:t>
            </w:r>
          </w:p>
        </w:tc>
        <w:tc>
          <w:tcPr>
            <w:cnfStyle w:val="000010000000"/>
            <w:tcW w:w="1843" w:type="dxa"/>
            <w:shd w:val="clear" w:color="auto" w:fill="D9D9D9" w:themeFill="background1" w:themeFillShade="D9"/>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mieszkalny – Piotrkowska 189</w:t>
            </w:r>
          </w:p>
        </w:tc>
        <w:tc>
          <w:tcPr>
            <w:tcW w:w="851" w:type="dxa"/>
            <w:shd w:val="clear" w:color="auto" w:fill="D9D9D9" w:themeFill="background1" w:themeFillShade="D9"/>
          </w:tcPr>
          <w:p w:rsidR="00CD4038" w:rsidRPr="00CD4038" w:rsidRDefault="00CD4038" w:rsidP="00601568">
            <w:pPr>
              <w:pStyle w:val="Akapitzlist"/>
              <w:spacing w:after="60" w:line="240" w:lineRule="auto"/>
              <w:ind w:left="0"/>
              <w:jc w:val="right"/>
              <w:cnfStyle w:val="000000100000"/>
              <w:rPr>
                <w:rFonts w:ascii="Cambria" w:hAnsi="Cambria"/>
                <w:color w:val="000000" w:themeColor="text1"/>
                <w:sz w:val="16"/>
                <w:szCs w:val="16"/>
              </w:rPr>
            </w:pPr>
            <w:r w:rsidRPr="00CD4038">
              <w:rPr>
                <w:rFonts w:ascii="Cambria" w:hAnsi="Cambria"/>
                <w:color w:val="000000" w:themeColor="text1"/>
                <w:sz w:val="16"/>
                <w:szCs w:val="16"/>
              </w:rPr>
              <w:t>2 031,10</w:t>
            </w:r>
          </w:p>
        </w:tc>
        <w:tc>
          <w:tcPr>
            <w:cnfStyle w:val="000010000000"/>
            <w:tcW w:w="992" w:type="dxa"/>
            <w:shd w:val="clear" w:color="auto" w:fill="D9D9D9" w:themeFill="background1" w:themeFillShade="D9"/>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11 020,00</w:t>
            </w:r>
          </w:p>
        </w:tc>
        <w:tc>
          <w:tcPr>
            <w:tcW w:w="992" w:type="dxa"/>
            <w:shd w:val="clear" w:color="auto" w:fill="D9D9D9" w:themeFill="background1" w:themeFillShade="D9"/>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p>
        </w:tc>
        <w:tc>
          <w:tcPr>
            <w:cnfStyle w:val="000010000000"/>
            <w:tcW w:w="1559" w:type="dxa"/>
            <w:shd w:val="clear" w:color="auto" w:fill="D9D9D9" w:themeFill="background1" w:themeFillShade="D9"/>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D9D9D9" w:themeFill="background1" w:themeFillShade="D9"/>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Żelbetowa</w:t>
            </w:r>
          </w:p>
        </w:tc>
        <w:tc>
          <w:tcPr>
            <w:cnfStyle w:val="000010000000"/>
            <w:tcW w:w="1418" w:type="dxa"/>
            <w:shd w:val="clear" w:color="auto" w:fill="D9D9D9" w:themeFill="background1" w:themeFillShade="D9"/>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Żelbetowa</w:t>
            </w:r>
          </w:p>
        </w:tc>
        <w:tc>
          <w:tcPr>
            <w:tcW w:w="1701" w:type="dxa"/>
            <w:shd w:val="clear" w:color="auto" w:fill="D9D9D9" w:themeFill="background1" w:themeFillShade="D9"/>
          </w:tcPr>
          <w:p w:rsidR="00CD4038" w:rsidRPr="00CD4038" w:rsidRDefault="00CD4038" w:rsidP="00601568">
            <w:pPr>
              <w:pStyle w:val="Akapitzlist"/>
              <w:spacing w:after="60" w:line="240" w:lineRule="auto"/>
              <w:ind w:left="0"/>
              <w:jc w:val="center"/>
              <w:cnfStyle w:val="000000100000"/>
              <w:rPr>
                <w:rFonts w:ascii="Cambria" w:hAnsi="Cambria"/>
                <w:color w:val="000000" w:themeColor="text1"/>
                <w:sz w:val="16"/>
                <w:szCs w:val="16"/>
              </w:rPr>
            </w:pPr>
            <w:r w:rsidRPr="00CD4038">
              <w:rPr>
                <w:rFonts w:ascii="Cambria" w:hAnsi="Cambria"/>
                <w:color w:val="000000" w:themeColor="text1"/>
                <w:sz w:val="16"/>
                <w:szCs w:val="16"/>
              </w:rPr>
              <w:t xml:space="preserve"> Papa</w:t>
            </w:r>
          </w:p>
        </w:tc>
        <w:tc>
          <w:tcPr>
            <w:cnfStyle w:val="000010000000"/>
            <w:tcW w:w="1559" w:type="dxa"/>
            <w:shd w:val="clear" w:color="auto" w:fill="D9D9D9" w:themeFill="background1" w:themeFillShade="D9"/>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10 155 500,00</w:t>
            </w:r>
          </w:p>
        </w:tc>
        <w:tc>
          <w:tcPr>
            <w:tcW w:w="1843" w:type="dxa"/>
            <w:shd w:val="clear" w:color="auto" w:fill="D9D9D9" w:themeFill="background1" w:themeFillShade="D9"/>
          </w:tcPr>
          <w:p w:rsidR="00CD4038" w:rsidRPr="00CD4038" w:rsidRDefault="007E0204" w:rsidP="00601568">
            <w:pPr>
              <w:pStyle w:val="Akapitzlist"/>
              <w:spacing w:after="60" w:line="240" w:lineRule="auto"/>
              <w:ind w:left="0"/>
              <w:jc w:val="right"/>
              <w:cnfStyle w:val="000000100000"/>
              <w:rPr>
                <w:rFonts w:ascii="Cambria" w:hAnsi="Cambria"/>
                <w:color w:val="000000" w:themeColor="text1"/>
                <w:sz w:val="16"/>
                <w:szCs w:val="16"/>
              </w:rPr>
            </w:pPr>
            <w:r>
              <w:rPr>
                <w:rFonts w:ascii="Cambria" w:hAnsi="Cambria"/>
                <w:color w:val="000000" w:themeColor="text1"/>
                <w:sz w:val="16"/>
                <w:szCs w:val="16"/>
              </w:rPr>
              <w:t>Gaśnice, hydranty wewnętrzne</w:t>
            </w:r>
            <w:r w:rsidR="00F25F3D">
              <w:rPr>
                <w:rFonts w:ascii="Cambria" w:hAnsi="Cambria"/>
                <w:color w:val="000000" w:themeColor="text1"/>
                <w:sz w:val="16"/>
                <w:szCs w:val="16"/>
              </w:rPr>
              <w:t>, system oddymiania klatek schodowych</w:t>
            </w:r>
          </w:p>
        </w:tc>
      </w:tr>
      <w:tr w:rsidR="00CD4038" w:rsidRPr="002167AC" w:rsidTr="0021722F">
        <w:trPr>
          <w:jc w:val="center"/>
        </w:trPr>
        <w:tc>
          <w:tcPr>
            <w:cnfStyle w:val="001000000000"/>
            <w:tcW w:w="562" w:type="dxa"/>
            <w:shd w:val="clear" w:color="auto" w:fill="FFFFFF" w:themeFill="background1"/>
          </w:tcPr>
          <w:p w:rsidR="00CD4038" w:rsidRPr="00CD4038" w:rsidRDefault="00CD4038" w:rsidP="00601568">
            <w:pPr>
              <w:pStyle w:val="Akapitzlist"/>
              <w:spacing w:after="60" w:line="240" w:lineRule="auto"/>
              <w:ind w:left="0"/>
              <w:rPr>
                <w:rFonts w:ascii="Cambria" w:hAnsi="Cambria"/>
                <w:b w:val="0"/>
                <w:bCs w:val="0"/>
                <w:color w:val="000000" w:themeColor="text1"/>
                <w:sz w:val="16"/>
                <w:szCs w:val="16"/>
              </w:rPr>
            </w:pPr>
            <w:r>
              <w:rPr>
                <w:rFonts w:ascii="Cambria" w:hAnsi="Cambria"/>
                <w:color w:val="000000" w:themeColor="text1"/>
                <w:sz w:val="16"/>
                <w:szCs w:val="16"/>
              </w:rPr>
              <w:t>2</w:t>
            </w:r>
          </w:p>
        </w:tc>
        <w:tc>
          <w:tcPr>
            <w:cnfStyle w:val="000010000000"/>
            <w:tcW w:w="1843" w:type="dxa"/>
            <w:shd w:val="clear" w:color="auto" w:fill="FFFFFF" w:themeFill="background1"/>
          </w:tcPr>
          <w:p w:rsidR="00CD4038" w:rsidRPr="00CD4038" w:rsidRDefault="00CD4038" w:rsidP="00601568">
            <w:pPr>
              <w:pStyle w:val="Akapitzlist"/>
              <w:spacing w:after="60" w:line="240" w:lineRule="auto"/>
              <w:ind w:left="0"/>
              <w:rPr>
                <w:rFonts w:ascii="Cambria" w:hAnsi="Cambria"/>
                <w:color w:val="000000" w:themeColor="text1"/>
                <w:sz w:val="16"/>
                <w:szCs w:val="16"/>
              </w:rPr>
            </w:pPr>
            <w:r w:rsidRPr="00CD4038">
              <w:rPr>
                <w:rFonts w:ascii="Cambria" w:hAnsi="Cambria"/>
                <w:color w:val="000000" w:themeColor="text1"/>
                <w:sz w:val="16"/>
                <w:szCs w:val="16"/>
              </w:rPr>
              <w:t>Budynek mieszkalny – Piotrkowska 191</w:t>
            </w:r>
          </w:p>
        </w:tc>
        <w:tc>
          <w:tcPr>
            <w:tcW w:w="851" w:type="dxa"/>
            <w:shd w:val="clear" w:color="auto" w:fill="FFFFFF" w:themeFill="background1"/>
          </w:tcPr>
          <w:p w:rsidR="00CD4038" w:rsidRPr="00CD4038" w:rsidRDefault="00CD4038" w:rsidP="00601568">
            <w:pPr>
              <w:pStyle w:val="Akapitzlist"/>
              <w:spacing w:after="60" w:line="240" w:lineRule="auto"/>
              <w:ind w:left="0"/>
              <w:jc w:val="right"/>
              <w:cnfStyle w:val="000000000000"/>
              <w:rPr>
                <w:rFonts w:ascii="Cambria" w:hAnsi="Cambria"/>
                <w:color w:val="000000" w:themeColor="text1"/>
                <w:sz w:val="16"/>
                <w:szCs w:val="16"/>
              </w:rPr>
            </w:pPr>
            <w:r w:rsidRPr="00CD4038">
              <w:rPr>
                <w:rFonts w:ascii="Cambria" w:hAnsi="Cambria"/>
                <w:color w:val="000000" w:themeColor="text1"/>
                <w:sz w:val="16"/>
                <w:szCs w:val="16"/>
              </w:rPr>
              <w:t>852,70</w:t>
            </w:r>
          </w:p>
        </w:tc>
        <w:tc>
          <w:tcPr>
            <w:cnfStyle w:val="000010000000"/>
            <w:tcW w:w="992"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4 776,00</w:t>
            </w:r>
          </w:p>
        </w:tc>
        <w:tc>
          <w:tcPr>
            <w:tcW w:w="992"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 xml:space="preserve">Murowana, </w:t>
            </w:r>
          </w:p>
        </w:tc>
        <w:tc>
          <w:tcPr>
            <w:tcW w:w="1843"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Drewniana</w:t>
            </w:r>
          </w:p>
        </w:tc>
        <w:tc>
          <w:tcPr>
            <w:cnfStyle w:val="000010000000"/>
            <w:tcW w:w="1418" w:type="dxa"/>
            <w:shd w:val="clear" w:color="auto" w:fill="FFFFFF" w:themeFill="background1"/>
          </w:tcPr>
          <w:p w:rsidR="00CD4038" w:rsidRPr="00CD4038" w:rsidRDefault="00CD4038" w:rsidP="00601568">
            <w:pPr>
              <w:pStyle w:val="Akapitzlist"/>
              <w:spacing w:after="60" w:line="240" w:lineRule="auto"/>
              <w:ind w:left="0"/>
              <w:jc w:val="center"/>
              <w:rPr>
                <w:rFonts w:ascii="Cambria" w:hAnsi="Cambria"/>
                <w:color w:val="000000" w:themeColor="text1"/>
                <w:sz w:val="16"/>
                <w:szCs w:val="16"/>
              </w:rPr>
            </w:pPr>
            <w:r w:rsidRPr="00CD4038">
              <w:rPr>
                <w:rFonts w:ascii="Cambria" w:hAnsi="Cambria"/>
                <w:color w:val="000000" w:themeColor="text1"/>
                <w:sz w:val="16"/>
                <w:szCs w:val="16"/>
              </w:rPr>
              <w:t>Drewniana</w:t>
            </w:r>
          </w:p>
        </w:tc>
        <w:tc>
          <w:tcPr>
            <w:tcW w:w="1701" w:type="dxa"/>
            <w:shd w:val="clear" w:color="auto" w:fill="FFFFFF" w:themeFill="background1"/>
          </w:tcPr>
          <w:p w:rsidR="00CD4038" w:rsidRPr="00CD4038" w:rsidRDefault="00CD4038" w:rsidP="00601568">
            <w:pPr>
              <w:pStyle w:val="Akapitzlist"/>
              <w:spacing w:after="60" w:line="240" w:lineRule="auto"/>
              <w:ind w:left="0"/>
              <w:jc w:val="center"/>
              <w:cnfStyle w:val="000000000000"/>
              <w:rPr>
                <w:rFonts w:ascii="Cambria" w:hAnsi="Cambria"/>
                <w:color w:val="000000" w:themeColor="text1"/>
                <w:sz w:val="16"/>
                <w:szCs w:val="16"/>
              </w:rPr>
            </w:pPr>
            <w:r w:rsidRPr="00CD4038">
              <w:rPr>
                <w:rFonts w:ascii="Cambria" w:hAnsi="Cambria"/>
                <w:color w:val="000000" w:themeColor="text1"/>
                <w:sz w:val="16"/>
                <w:szCs w:val="16"/>
              </w:rPr>
              <w:t>Blacha</w:t>
            </w:r>
          </w:p>
        </w:tc>
        <w:tc>
          <w:tcPr>
            <w:cnfStyle w:val="000010000000"/>
            <w:tcW w:w="1559" w:type="dxa"/>
            <w:shd w:val="clear" w:color="auto" w:fill="FFFFFF" w:themeFill="background1"/>
          </w:tcPr>
          <w:p w:rsidR="00CD4038" w:rsidRPr="00CD4038" w:rsidRDefault="00CD4038" w:rsidP="00601568">
            <w:pPr>
              <w:pStyle w:val="Akapitzlist"/>
              <w:spacing w:after="60" w:line="240" w:lineRule="auto"/>
              <w:ind w:left="0"/>
              <w:jc w:val="right"/>
              <w:rPr>
                <w:rFonts w:ascii="Cambria" w:hAnsi="Cambria"/>
                <w:color w:val="000000" w:themeColor="text1"/>
                <w:sz w:val="16"/>
                <w:szCs w:val="16"/>
              </w:rPr>
            </w:pPr>
            <w:r w:rsidRPr="00CD4038">
              <w:rPr>
                <w:rFonts w:ascii="Cambria" w:hAnsi="Cambria"/>
                <w:color w:val="000000" w:themeColor="text1"/>
                <w:sz w:val="16"/>
                <w:szCs w:val="16"/>
              </w:rPr>
              <w:t>4 263 500,00</w:t>
            </w:r>
          </w:p>
        </w:tc>
        <w:tc>
          <w:tcPr>
            <w:tcW w:w="1843" w:type="dxa"/>
            <w:shd w:val="clear" w:color="auto" w:fill="FFFFFF" w:themeFill="background1"/>
          </w:tcPr>
          <w:p w:rsidR="00CD4038" w:rsidRPr="00CD4038" w:rsidRDefault="00F25F3D" w:rsidP="00601568">
            <w:pPr>
              <w:pStyle w:val="Akapitzlist"/>
              <w:spacing w:after="60" w:line="240" w:lineRule="auto"/>
              <w:ind w:left="0"/>
              <w:jc w:val="right"/>
              <w:cnfStyle w:val="000000000000"/>
              <w:rPr>
                <w:rFonts w:ascii="Cambria" w:hAnsi="Cambria"/>
                <w:color w:val="000000" w:themeColor="text1"/>
                <w:sz w:val="16"/>
                <w:szCs w:val="16"/>
              </w:rPr>
            </w:pPr>
            <w:r>
              <w:rPr>
                <w:rFonts w:ascii="Cambria" w:hAnsi="Cambria"/>
                <w:color w:val="000000" w:themeColor="text1"/>
                <w:sz w:val="16"/>
                <w:szCs w:val="16"/>
              </w:rPr>
              <w:t>Gaśnice, hydranty wewnętrzne, system oddymiania klatek schodowych</w:t>
            </w:r>
          </w:p>
        </w:tc>
      </w:tr>
    </w:tbl>
    <w:p w:rsidR="00BF115B" w:rsidRDefault="00BF115B" w:rsidP="00BF115B">
      <w:pPr>
        <w:rPr>
          <w:color w:val="000000" w:themeColor="text1"/>
          <w:sz w:val="18"/>
          <w:szCs w:val="18"/>
        </w:rPr>
      </w:pP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t xml:space="preserve">                                         </w:t>
      </w:r>
    </w:p>
    <w:p w:rsidR="00281158" w:rsidRDefault="0028115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pPr>
    </w:p>
    <w:p w:rsidR="00601568" w:rsidRDefault="00601568" w:rsidP="004D7617">
      <w:pPr>
        <w:pStyle w:val="NormalnyWeb"/>
        <w:spacing w:before="0" w:beforeAutospacing="0" w:after="0" w:afterAutospacing="0"/>
        <w:jc w:val="both"/>
        <w:rPr>
          <w:rFonts w:ascii="Calibri" w:hAnsi="Calibri" w:cs="Tahoma"/>
          <w:sz w:val="22"/>
          <w:szCs w:val="22"/>
        </w:rPr>
        <w:sectPr w:rsidR="00601568" w:rsidSect="00601568">
          <w:pgSz w:w="16834" w:h="11900" w:orient="landscape"/>
          <w:pgMar w:top="720" w:right="720" w:bottom="720" w:left="720" w:header="708" w:footer="708" w:gutter="0"/>
          <w:cols w:space="708"/>
          <w:docGrid w:linePitch="299"/>
        </w:sectPr>
      </w:pPr>
    </w:p>
    <w:p w:rsidR="00152096" w:rsidRDefault="00152096">
      <w:pPr>
        <w:pStyle w:val="NormalnyWeb"/>
        <w:spacing w:before="0" w:beforeAutospacing="0" w:after="0" w:afterAutospacing="0"/>
        <w:jc w:val="both"/>
        <w:rPr>
          <w:rFonts w:ascii="Calibri" w:hAnsi="Calibri" w:cs="Tahoma"/>
          <w:sz w:val="22"/>
          <w:szCs w:val="22"/>
        </w:rPr>
      </w:pPr>
    </w:p>
    <w:p w:rsidR="0021722F" w:rsidRDefault="0021722F">
      <w:pPr>
        <w:numPr>
          <w:ilvl w:val="0"/>
          <w:numId w:val="1"/>
        </w:numPr>
        <w:spacing w:after="0" w:line="240" w:lineRule="auto"/>
        <w:ind w:left="720" w:right="360" w:hanging="360"/>
        <w:jc w:val="both"/>
        <w:rPr>
          <w:rFonts w:cs="Tahoma"/>
          <w:lang w:val="pl-PL"/>
        </w:rPr>
      </w:pPr>
      <w:r>
        <w:rPr>
          <w:rFonts w:cs="Tahoma"/>
          <w:lang w:val="pl-PL"/>
        </w:rPr>
        <w:t xml:space="preserve">Prosimy o potwierdzenie, iż w kwestiach nieuregulowanych w zapytaniu ofertowym będą miały zastosowanie OWU wraz z klauzulami dodatkowymi Ubezpieczyciela. </w:t>
      </w:r>
    </w:p>
    <w:p w:rsidR="0021722F" w:rsidRDefault="0021722F" w:rsidP="0021722F">
      <w:pPr>
        <w:spacing w:after="0" w:line="240" w:lineRule="auto"/>
        <w:ind w:left="720" w:right="360"/>
        <w:jc w:val="both"/>
        <w:rPr>
          <w:rFonts w:cs="Tahoma"/>
          <w:lang w:val="pl-PL"/>
        </w:rPr>
      </w:pPr>
    </w:p>
    <w:p w:rsidR="0021722F" w:rsidRDefault="003E4950" w:rsidP="0021722F">
      <w:pPr>
        <w:spacing w:after="0" w:line="240" w:lineRule="auto"/>
        <w:ind w:left="720" w:right="360"/>
        <w:jc w:val="both"/>
        <w:rPr>
          <w:rFonts w:cs="Tahoma"/>
          <w:b/>
          <w:u w:val="single"/>
          <w:lang w:val="pl-PL"/>
        </w:rPr>
      </w:pPr>
      <w:r w:rsidRPr="003E4950">
        <w:rPr>
          <w:rFonts w:cs="Tahoma"/>
          <w:b/>
          <w:u w:val="single"/>
          <w:lang w:val="pl-PL"/>
        </w:rPr>
        <w:t>Odpowiedź:</w:t>
      </w:r>
    </w:p>
    <w:p w:rsidR="003E4950" w:rsidRPr="003E4950" w:rsidRDefault="003E4950" w:rsidP="0021722F">
      <w:pPr>
        <w:spacing w:after="0" w:line="240" w:lineRule="auto"/>
        <w:ind w:left="720" w:right="360"/>
        <w:jc w:val="both"/>
        <w:rPr>
          <w:rFonts w:cs="Tahoma"/>
          <w:b/>
          <w:lang w:val="pl-PL"/>
        </w:rPr>
      </w:pPr>
      <w:r>
        <w:rPr>
          <w:rFonts w:cs="Tahoma"/>
          <w:b/>
          <w:lang w:val="pl-PL"/>
        </w:rPr>
        <w:t>Zamawiający potwierdza</w:t>
      </w:r>
    </w:p>
    <w:p w:rsidR="003E4950" w:rsidRDefault="003E4950" w:rsidP="0021722F">
      <w:pPr>
        <w:spacing w:after="0" w:line="240" w:lineRule="auto"/>
        <w:ind w:left="720" w:right="360"/>
        <w:jc w:val="both"/>
        <w:rPr>
          <w:rFonts w:cs="Tahoma"/>
          <w:lang w:val="pl-PL"/>
        </w:rPr>
      </w:pPr>
    </w:p>
    <w:p w:rsidR="00152096" w:rsidRDefault="007F422A">
      <w:pPr>
        <w:numPr>
          <w:ilvl w:val="0"/>
          <w:numId w:val="1"/>
        </w:numPr>
        <w:spacing w:after="0" w:line="240" w:lineRule="auto"/>
        <w:ind w:left="720" w:right="360" w:hanging="360"/>
        <w:jc w:val="both"/>
        <w:rPr>
          <w:rFonts w:cs="Tahoma"/>
          <w:lang w:val="pl-PL"/>
        </w:rPr>
      </w:pPr>
      <w:r>
        <w:rPr>
          <w:rFonts w:cs="Tahoma"/>
          <w:lang w:val="pl-PL"/>
        </w:rPr>
        <w:t>Czy w budynkach prowadzona jest działalność gastronomiczna lub hotelarska, prosimy o wskazanie w którym budynku ?</w:t>
      </w:r>
    </w:p>
    <w:p w:rsidR="00152096" w:rsidRDefault="00152096">
      <w:pPr>
        <w:pStyle w:val="Akapitzlist"/>
        <w:rPr>
          <w:rFonts w:ascii="Calibri" w:hAnsi="Calibri" w:cs="Tahoma"/>
          <w:color w:val="000000"/>
          <w:sz w:val="22"/>
        </w:rPr>
      </w:pPr>
    </w:p>
    <w:p w:rsidR="00152096" w:rsidRDefault="007F422A">
      <w:pPr>
        <w:spacing w:after="0" w:line="240" w:lineRule="auto"/>
        <w:ind w:left="720" w:right="357"/>
        <w:jc w:val="both"/>
        <w:rPr>
          <w:rFonts w:cs="Tahoma"/>
          <w:b/>
          <w:u w:val="single"/>
          <w:lang w:val="pl-PL"/>
        </w:rPr>
      </w:pPr>
      <w:r>
        <w:rPr>
          <w:rFonts w:cs="Tahoma"/>
          <w:b/>
          <w:u w:val="single"/>
          <w:lang w:val="pl-PL"/>
        </w:rPr>
        <w:t>Odpowiedź :</w:t>
      </w:r>
    </w:p>
    <w:p w:rsidR="00152096" w:rsidRDefault="007F422A">
      <w:pPr>
        <w:spacing w:after="0" w:line="240" w:lineRule="auto"/>
        <w:ind w:left="720" w:right="357"/>
        <w:jc w:val="both"/>
        <w:rPr>
          <w:rFonts w:cs="Tahoma"/>
          <w:b/>
          <w:lang w:val="pl-PL"/>
        </w:rPr>
      </w:pPr>
      <w:r>
        <w:rPr>
          <w:rFonts w:cs="Tahoma"/>
          <w:b/>
          <w:lang w:val="pl-PL"/>
        </w:rPr>
        <w:t>Działalność gastronomiczna prowadzona jest w budynku Z, H na terenie Uczelni, przy ul. Targowej 61/63, oraz w budynku A Teatru Studyjnego.</w:t>
      </w:r>
    </w:p>
    <w:p w:rsidR="00152096" w:rsidRDefault="007F422A">
      <w:pPr>
        <w:spacing w:after="0" w:line="240" w:lineRule="auto"/>
        <w:ind w:left="720" w:right="357"/>
        <w:jc w:val="both"/>
        <w:rPr>
          <w:rFonts w:cs="Tahoma"/>
          <w:b/>
          <w:lang w:val="pl-PL"/>
        </w:rPr>
      </w:pPr>
      <w:r>
        <w:rPr>
          <w:rFonts w:cs="Tahoma"/>
          <w:b/>
          <w:lang w:val="pl-PL"/>
        </w:rPr>
        <w:t>Działalność hotelarska prowadzona jest na terenie Domu Studenta, przy ul. Piotrkowskiej 189/191</w:t>
      </w:r>
    </w:p>
    <w:p w:rsidR="00152096" w:rsidRDefault="007F422A">
      <w:pPr>
        <w:spacing w:after="0" w:line="240" w:lineRule="auto"/>
        <w:ind w:left="720" w:right="357"/>
        <w:jc w:val="both"/>
        <w:rPr>
          <w:rFonts w:cs="Tahoma"/>
          <w:b/>
          <w:lang w:val="pl-PL"/>
        </w:rPr>
      </w:pPr>
      <w:proofErr w:type="spellStart"/>
      <w:r>
        <w:rPr>
          <w:rFonts w:cs="Tahoma"/>
          <w:b/>
          <w:lang w:val="pl-PL"/>
        </w:rPr>
        <w:t>PWSFTViT</w:t>
      </w:r>
      <w:proofErr w:type="spellEnd"/>
      <w:r>
        <w:rPr>
          <w:rFonts w:cs="Tahoma"/>
          <w:b/>
          <w:lang w:val="pl-PL"/>
        </w:rPr>
        <w:t xml:space="preserve"> posiada pomieszczenia socjalne dla wykładowców w budynku </w:t>
      </w:r>
      <w:proofErr w:type="spellStart"/>
      <w:r>
        <w:rPr>
          <w:rFonts w:cs="Tahoma"/>
          <w:b/>
          <w:lang w:val="pl-PL"/>
        </w:rPr>
        <w:t>Z,B</w:t>
      </w:r>
      <w:proofErr w:type="spellEnd"/>
    </w:p>
    <w:p w:rsidR="003E4950" w:rsidRDefault="003E4950">
      <w:pPr>
        <w:spacing w:line="240" w:lineRule="auto"/>
        <w:ind w:left="720" w:right="360"/>
        <w:jc w:val="both"/>
        <w:rPr>
          <w:rFonts w:cs="Tahoma"/>
          <w:lang w:val="pl-PL"/>
        </w:rPr>
      </w:pPr>
    </w:p>
    <w:p w:rsidR="003E4950" w:rsidRDefault="003E4950">
      <w:pPr>
        <w:numPr>
          <w:ilvl w:val="0"/>
          <w:numId w:val="1"/>
        </w:numPr>
        <w:spacing w:after="0" w:line="240" w:lineRule="auto"/>
        <w:ind w:left="720" w:right="360" w:hanging="360"/>
        <w:jc w:val="both"/>
        <w:rPr>
          <w:rFonts w:cs="Tahoma"/>
          <w:lang w:val="pl-PL"/>
        </w:rPr>
      </w:pPr>
      <w:r>
        <w:rPr>
          <w:rFonts w:cs="Tahoma"/>
          <w:lang w:val="pl-PL"/>
        </w:rPr>
        <w:t>Prosimy o informacje na temat lokalizacji EC1 ul. Targowa 61/63 , 90-022 Łódź : rodzaj mienia zgłoszonego go ubezpieczenia w tej lokalizacji, suma ubezpieczenia, zabezpieczenia ppoż., konstrukcja budynków.</w:t>
      </w:r>
    </w:p>
    <w:p w:rsidR="003E4950" w:rsidRDefault="003E4950" w:rsidP="003E4950">
      <w:pPr>
        <w:spacing w:after="0" w:line="240" w:lineRule="auto"/>
        <w:ind w:right="360"/>
        <w:jc w:val="both"/>
        <w:rPr>
          <w:rFonts w:cs="Tahoma"/>
          <w:lang w:val="pl-PL"/>
        </w:rPr>
      </w:pPr>
    </w:p>
    <w:p w:rsidR="003E4950" w:rsidRDefault="003E4950" w:rsidP="003E4950">
      <w:pPr>
        <w:spacing w:after="0" w:line="240" w:lineRule="auto"/>
        <w:ind w:left="708" w:right="360"/>
        <w:jc w:val="both"/>
        <w:rPr>
          <w:rFonts w:cs="Tahoma"/>
          <w:b/>
          <w:u w:val="single"/>
          <w:lang w:val="pl-PL"/>
        </w:rPr>
      </w:pPr>
      <w:r w:rsidRPr="003E4950">
        <w:rPr>
          <w:rFonts w:cs="Tahoma"/>
          <w:b/>
          <w:u w:val="single"/>
          <w:lang w:val="pl-PL"/>
        </w:rPr>
        <w:t>Odpowiedź :</w:t>
      </w:r>
    </w:p>
    <w:p w:rsidR="003E4950" w:rsidRPr="003E4950" w:rsidRDefault="003E4950" w:rsidP="003E4950">
      <w:pPr>
        <w:spacing w:after="0" w:line="240" w:lineRule="auto"/>
        <w:ind w:left="708" w:right="360"/>
        <w:jc w:val="both"/>
        <w:rPr>
          <w:rFonts w:cs="Tahoma"/>
          <w:b/>
          <w:lang w:val="pl-PL"/>
        </w:rPr>
      </w:pPr>
      <w:r>
        <w:rPr>
          <w:rFonts w:cs="Tahoma"/>
          <w:b/>
          <w:lang w:val="pl-PL"/>
        </w:rPr>
        <w:t xml:space="preserve">Zamawiający informuje, że wynajmuje pomieszczenia w EC1 przy ul. Targowej 61/63. Rodzaj mienia i sumy ubezpieczenia na wszystkie lokalizacje podane są w specyfikacji . </w:t>
      </w:r>
    </w:p>
    <w:p w:rsidR="003E4950" w:rsidRDefault="003E4950" w:rsidP="003E4950">
      <w:pPr>
        <w:spacing w:after="0" w:line="240" w:lineRule="auto"/>
        <w:ind w:left="720" w:right="360"/>
        <w:jc w:val="both"/>
        <w:rPr>
          <w:rFonts w:cs="Tahoma"/>
          <w:lang w:val="pl-PL"/>
        </w:rPr>
      </w:pPr>
    </w:p>
    <w:p w:rsidR="00152096" w:rsidRDefault="007F422A">
      <w:pPr>
        <w:numPr>
          <w:ilvl w:val="0"/>
          <w:numId w:val="1"/>
        </w:numPr>
        <w:spacing w:after="0" w:line="240" w:lineRule="auto"/>
        <w:ind w:left="720" w:right="360" w:hanging="360"/>
        <w:jc w:val="both"/>
        <w:rPr>
          <w:rFonts w:cs="Tahoma"/>
          <w:lang w:val="pl-PL"/>
        </w:rPr>
      </w:pPr>
      <w:r>
        <w:rPr>
          <w:rFonts w:cs="Tahoma"/>
          <w:lang w:val="pl-PL"/>
        </w:rPr>
        <w:t>W odniesieniu do ubezpieczenia sprzętu elektronicznego prosimy o informację jaka jest wartość sprzętu elektronicznego na terenie Europy , jak wartość jest na terenie RP a jaka w poszczególnych lokalizacjach.</w:t>
      </w:r>
    </w:p>
    <w:p w:rsidR="00152096" w:rsidRDefault="00152096">
      <w:pPr>
        <w:pStyle w:val="Akapitzlist"/>
        <w:spacing w:line="240" w:lineRule="auto"/>
        <w:ind w:right="360"/>
        <w:jc w:val="both"/>
        <w:rPr>
          <w:rFonts w:ascii="Calibri" w:hAnsi="Calibri" w:cs="Tahoma"/>
          <w:b/>
          <w:color w:val="000000"/>
          <w:sz w:val="22"/>
          <w:u w:val="single"/>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spacing w:line="240" w:lineRule="auto"/>
        <w:ind w:left="708" w:right="360"/>
        <w:jc w:val="both"/>
        <w:rPr>
          <w:rFonts w:cs="Tahoma"/>
          <w:b/>
          <w:lang w:val="pl-PL"/>
        </w:rPr>
      </w:pPr>
      <w:r>
        <w:rPr>
          <w:rFonts w:cs="Tahoma"/>
          <w:b/>
          <w:lang w:val="pl-PL"/>
        </w:rPr>
        <w:t>Wartość sprzętu filmowego jest taka sama dla poszczególnych lokalizacji, RP oraz Europy (zgodnie z załącznikiem)</w:t>
      </w:r>
    </w:p>
    <w:p w:rsidR="005716CF" w:rsidRDefault="007F422A">
      <w:pPr>
        <w:spacing w:line="240" w:lineRule="auto"/>
        <w:ind w:left="720" w:right="360"/>
        <w:jc w:val="both"/>
        <w:rPr>
          <w:rFonts w:cs="Tahoma"/>
          <w:b/>
          <w:lang w:val="pl-PL"/>
        </w:rPr>
      </w:pPr>
      <w:r>
        <w:rPr>
          <w:rFonts w:cs="Tahoma"/>
          <w:b/>
          <w:lang w:val="pl-PL"/>
        </w:rPr>
        <w:t xml:space="preserve">Sprzęt filmowy – mienie osób trzecich – suma ubezpieczenia 350 000,00 zł </w:t>
      </w:r>
    </w:p>
    <w:p w:rsidR="005716CF" w:rsidRDefault="005716CF" w:rsidP="005716CF">
      <w:pPr>
        <w:spacing w:line="240" w:lineRule="auto"/>
        <w:ind w:left="720" w:right="360"/>
        <w:jc w:val="both"/>
        <w:rPr>
          <w:rFonts w:cs="Tahoma"/>
          <w:b/>
          <w:lang w:val="pl-PL"/>
        </w:rPr>
      </w:pPr>
      <w:r>
        <w:rPr>
          <w:rFonts w:cs="Tahoma"/>
          <w:b/>
          <w:lang w:val="pl-PL"/>
        </w:rPr>
        <w:t xml:space="preserve">Sprzęt filmowy zgodnie z załącznikiem – suma ubezpieczenia 8 335 881,83 zł </w:t>
      </w:r>
    </w:p>
    <w:p w:rsidR="005716CF" w:rsidRDefault="005716CF">
      <w:pPr>
        <w:numPr>
          <w:ilvl w:val="0"/>
          <w:numId w:val="1"/>
        </w:numPr>
        <w:spacing w:after="0" w:line="240" w:lineRule="auto"/>
        <w:ind w:left="720" w:right="360" w:hanging="360"/>
        <w:jc w:val="both"/>
        <w:rPr>
          <w:rFonts w:cs="Tahoma"/>
          <w:lang w:val="pl-PL"/>
        </w:rPr>
      </w:pPr>
      <w:r>
        <w:rPr>
          <w:rFonts w:cs="Tahoma"/>
          <w:lang w:val="pl-PL"/>
        </w:rPr>
        <w:t>W odniesieniu do ubezpieczenia sprzętu elektronicznego prosimy o potwierdzenie, iż data zakupu jest tożsama z datą produkcji.</w:t>
      </w:r>
    </w:p>
    <w:p w:rsidR="005716CF" w:rsidRDefault="005716CF" w:rsidP="005716CF">
      <w:pPr>
        <w:spacing w:after="0" w:line="240" w:lineRule="auto"/>
        <w:ind w:right="360"/>
        <w:jc w:val="both"/>
        <w:rPr>
          <w:rFonts w:cs="Tahoma"/>
          <w:lang w:val="pl-PL"/>
        </w:rPr>
      </w:pPr>
    </w:p>
    <w:p w:rsidR="005716CF" w:rsidRDefault="005716CF" w:rsidP="005716CF">
      <w:pPr>
        <w:spacing w:after="0" w:line="240" w:lineRule="auto"/>
        <w:ind w:left="708" w:right="360"/>
        <w:jc w:val="both"/>
        <w:rPr>
          <w:rFonts w:cs="Tahoma"/>
          <w:b/>
          <w:u w:val="single"/>
          <w:lang w:val="pl-PL"/>
        </w:rPr>
      </w:pPr>
      <w:r w:rsidRPr="005716CF">
        <w:rPr>
          <w:rFonts w:cs="Tahoma"/>
          <w:b/>
          <w:u w:val="single"/>
          <w:lang w:val="pl-PL"/>
        </w:rPr>
        <w:t xml:space="preserve">Odpowiedź : </w:t>
      </w:r>
    </w:p>
    <w:p w:rsidR="00152096" w:rsidRDefault="00573EE3" w:rsidP="00573EE3">
      <w:pPr>
        <w:spacing w:after="0" w:line="240" w:lineRule="auto"/>
        <w:ind w:left="708" w:right="360"/>
        <w:jc w:val="both"/>
        <w:rPr>
          <w:rFonts w:cs="Tahoma"/>
          <w:b/>
          <w:lang w:val="pl-PL"/>
        </w:rPr>
      </w:pPr>
      <w:r>
        <w:rPr>
          <w:rFonts w:cs="Tahoma"/>
          <w:b/>
          <w:lang w:val="pl-PL"/>
        </w:rPr>
        <w:t>Zamawiający nie potwierdza.</w:t>
      </w:r>
    </w:p>
    <w:p w:rsidR="00573EE3" w:rsidRPr="00573EE3" w:rsidRDefault="00573EE3" w:rsidP="00573EE3">
      <w:pPr>
        <w:spacing w:after="0" w:line="240" w:lineRule="auto"/>
        <w:ind w:left="708" w:right="360"/>
        <w:jc w:val="both"/>
        <w:rPr>
          <w:rFonts w:cs="Tahoma"/>
          <w:b/>
          <w:lang w:val="pl-PL"/>
        </w:rPr>
      </w:pPr>
    </w:p>
    <w:p w:rsidR="00152096" w:rsidRDefault="007F422A">
      <w:pPr>
        <w:numPr>
          <w:ilvl w:val="0"/>
          <w:numId w:val="1"/>
        </w:numPr>
        <w:spacing w:after="0" w:line="240" w:lineRule="auto"/>
        <w:ind w:left="720" w:right="360" w:hanging="360"/>
        <w:jc w:val="both"/>
        <w:rPr>
          <w:rFonts w:cs="Tahoma"/>
          <w:lang w:val="pl-PL"/>
        </w:rPr>
      </w:pPr>
      <w:r>
        <w:rPr>
          <w:rFonts w:cs="Tahoma"/>
          <w:lang w:val="pl-PL"/>
        </w:rPr>
        <w:t>W odniesieniu do ubezpieczenia sprzętu elektronicznego prosimy o informację jaka wartość sprzętu i rodzaj sprzętu będzie używany do realizacji zdjęć z lotu ptaka a jaki z efektami pirotechnicznymi?.</w:t>
      </w:r>
    </w:p>
    <w:p w:rsidR="00152096" w:rsidRDefault="00152096">
      <w:pPr>
        <w:pStyle w:val="Akapitzlist"/>
        <w:spacing w:line="240" w:lineRule="auto"/>
        <w:ind w:right="360"/>
        <w:jc w:val="both"/>
        <w:rPr>
          <w:rFonts w:ascii="Calibri" w:hAnsi="Calibri" w:cs="Tahoma"/>
          <w:b/>
          <w:color w:val="000000"/>
          <w:sz w:val="22"/>
          <w:u w:val="single"/>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Akapitzlist"/>
        <w:spacing w:line="240" w:lineRule="auto"/>
        <w:ind w:right="360"/>
        <w:jc w:val="both"/>
        <w:rPr>
          <w:rFonts w:ascii="Calibri" w:hAnsi="Calibri" w:cs="Tahoma"/>
          <w:b/>
          <w:color w:val="000000"/>
          <w:sz w:val="22"/>
        </w:rPr>
      </w:pPr>
      <w:r>
        <w:rPr>
          <w:rFonts w:ascii="Calibri" w:hAnsi="Calibri" w:cs="Tahoma"/>
          <w:b/>
          <w:color w:val="000000"/>
          <w:sz w:val="22"/>
        </w:rPr>
        <w:t>Zamawiający nie jest w stanie udzielić odpowiedzi na powyższe pytanie, ponieważ obecnie nie są znane scenariusze na rok 201</w:t>
      </w:r>
      <w:r w:rsidR="00573EE3">
        <w:rPr>
          <w:rFonts w:ascii="Calibri" w:hAnsi="Calibri" w:cs="Tahoma"/>
          <w:b/>
          <w:color w:val="000000"/>
          <w:sz w:val="22"/>
        </w:rPr>
        <w:t>6</w:t>
      </w:r>
      <w:r>
        <w:rPr>
          <w:rFonts w:ascii="Calibri" w:hAnsi="Calibri" w:cs="Tahoma"/>
          <w:b/>
          <w:color w:val="000000"/>
          <w:sz w:val="22"/>
        </w:rPr>
        <w:t>r.</w:t>
      </w:r>
    </w:p>
    <w:p w:rsidR="00152096" w:rsidRDefault="00152096">
      <w:pPr>
        <w:pStyle w:val="Akapitzlist"/>
        <w:rPr>
          <w:rFonts w:ascii="Calibri" w:hAnsi="Calibri" w:cs="Tahoma"/>
          <w:color w:val="000000"/>
          <w:sz w:val="22"/>
        </w:rPr>
      </w:pPr>
    </w:p>
    <w:p w:rsidR="00152096" w:rsidRDefault="007F422A">
      <w:pPr>
        <w:numPr>
          <w:ilvl w:val="0"/>
          <w:numId w:val="1"/>
        </w:numPr>
        <w:spacing w:after="0" w:line="240" w:lineRule="auto"/>
        <w:ind w:left="720" w:right="360" w:hanging="360"/>
        <w:jc w:val="both"/>
        <w:rPr>
          <w:rFonts w:cs="Tahoma"/>
          <w:lang w:val="pl-PL"/>
        </w:rPr>
      </w:pPr>
      <w:r>
        <w:rPr>
          <w:rFonts w:cs="Tahoma"/>
          <w:lang w:val="pl-PL"/>
        </w:rPr>
        <w:t>W odniesieniu do ubezpieczenia mienia od pożaru i innych zdarzeń losowych  prosimy o wykaz środków trwałych będących przedmiotem ubezpieczenia oraz podział środków trwałych na poszczególne lokalizacje.</w:t>
      </w:r>
    </w:p>
    <w:p w:rsidR="00152096" w:rsidRDefault="00152096">
      <w:pPr>
        <w:pStyle w:val="Akapitzlist"/>
        <w:rPr>
          <w:rFonts w:ascii="Calibri" w:hAnsi="Calibri" w:cs="Tahoma"/>
          <w:color w:val="000000"/>
          <w:sz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Akapitzlist"/>
        <w:tabs>
          <w:tab w:val="left" w:pos="6096"/>
        </w:tabs>
        <w:spacing w:line="240" w:lineRule="auto"/>
        <w:ind w:right="360"/>
        <w:jc w:val="both"/>
        <w:rPr>
          <w:rFonts w:ascii="Calibri" w:hAnsi="Calibri" w:cs="Tahoma"/>
          <w:b/>
          <w:color w:val="000000"/>
          <w:sz w:val="22"/>
        </w:rPr>
      </w:pPr>
      <w:r>
        <w:rPr>
          <w:rFonts w:ascii="Calibri" w:hAnsi="Calibri" w:cs="Tahoma"/>
          <w:b/>
          <w:color w:val="000000"/>
          <w:sz w:val="22"/>
        </w:rPr>
        <w:t>Zamawiający nie wyraża zgody na załącznik w postaci wykazu sprzętu. W przypadku ewentualnej szkody jest w stanie udowodnić, że zniszczony sprzęt jest jego własnością m.in. za pomocą wydruku ewidencji środków trwałych.</w:t>
      </w:r>
    </w:p>
    <w:p w:rsidR="00152096" w:rsidRDefault="00152096">
      <w:pPr>
        <w:pStyle w:val="Akapitzlist"/>
        <w:rPr>
          <w:rFonts w:ascii="Calibri" w:hAnsi="Calibri" w:cs="Tahoma"/>
          <w:color w:val="000000"/>
          <w:sz w:val="22"/>
        </w:rPr>
      </w:pPr>
    </w:p>
    <w:p w:rsidR="00573EE3" w:rsidRDefault="00573EE3">
      <w:pPr>
        <w:pStyle w:val="Akapitzlist"/>
        <w:rPr>
          <w:rFonts w:ascii="Calibri" w:hAnsi="Calibri" w:cs="Tahoma"/>
          <w:color w:val="000000"/>
          <w:sz w:val="22"/>
        </w:rPr>
      </w:pPr>
    </w:p>
    <w:p w:rsidR="00152096" w:rsidRPr="00416EF8" w:rsidRDefault="007F422A" w:rsidP="00F25F3D">
      <w:pPr>
        <w:numPr>
          <w:ilvl w:val="0"/>
          <w:numId w:val="1"/>
        </w:numPr>
        <w:spacing w:after="0" w:line="240" w:lineRule="auto"/>
        <w:ind w:left="720" w:hanging="360"/>
        <w:jc w:val="both"/>
        <w:rPr>
          <w:rFonts w:cs="Tahoma"/>
          <w:lang w:val="pl-PL"/>
        </w:rPr>
      </w:pPr>
      <w:r w:rsidRPr="00416EF8">
        <w:rPr>
          <w:rFonts w:cs="Tahoma"/>
          <w:lang w:val="pl-PL"/>
        </w:rPr>
        <w:t xml:space="preserve">W odniesieniu do ubezpieczenia mienia od pożaru i innych zdarzeń losowych zapisów </w:t>
      </w:r>
      <w:proofErr w:type="spellStart"/>
      <w:r w:rsidRPr="00416EF8">
        <w:rPr>
          <w:rFonts w:cs="Tahoma"/>
          <w:lang w:val="pl-PL"/>
        </w:rPr>
        <w:t>kl</w:t>
      </w:r>
      <w:proofErr w:type="spellEnd"/>
      <w:r w:rsidRPr="00416EF8">
        <w:rPr>
          <w:rFonts w:cs="Tahoma"/>
          <w:lang w:val="pl-PL"/>
        </w:rPr>
        <w:t xml:space="preserve"> 1 – ubezpieczenie szyb, czy  Zamawiający dopuszcza zmianę na poniższą klauzulę.</w:t>
      </w:r>
    </w:p>
    <w:p w:rsidR="00152096" w:rsidRDefault="007F422A">
      <w:pPr>
        <w:spacing w:after="0" w:line="240" w:lineRule="auto"/>
        <w:ind w:left="720"/>
        <w:jc w:val="both"/>
        <w:rPr>
          <w:rFonts w:cs="Tahoma"/>
          <w:lang w:val="pl-PL"/>
        </w:rPr>
      </w:pPr>
      <w:r>
        <w:rPr>
          <w:rFonts w:cs="Tahoma"/>
          <w:lang w:val="pl-PL"/>
        </w:rPr>
        <w:t>Z zachowaniem pozostałych nie zmienionych niniejszą klauzulą postanowień ogólnych warunków ubezpieczenia i innych postanowień umowy ubezpieczenia, ustala się, że Ubezpieczyciel nie obejmuje ochroną ubezpieczeniową od ryzyka stłuczenia (rozbicia) szyby i inne przedmioty szklane należące do Ubezpieczonego lub Ubezpieczającego lub będące w ich posiadaniu i stanowiące wyposażenie budynków, lokali oraz innych pomieszczeń użytkowych.</w:t>
      </w:r>
    </w:p>
    <w:p w:rsidR="00152096" w:rsidRDefault="007F422A">
      <w:pPr>
        <w:spacing w:after="0" w:line="240" w:lineRule="auto"/>
        <w:ind w:left="720"/>
        <w:jc w:val="both"/>
        <w:rPr>
          <w:rFonts w:cs="Tahoma"/>
          <w:lang w:val="pl-PL"/>
        </w:rPr>
      </w:pPr>
      <w:r>
        <w:rPr>
          <w:rFonts w:cs="Tahoma"/>
          <w:lang w:val="pl-PL"/>
        </w:rPr>
        <w:t>Ubezpieczenie nie obejmuje :</w:t>
      </w:r>
    </w:p>
    <w:p w:rsidR="00152096" w:rsidRDefault="007F422A">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70" w:lineRule="atLeast"/>
        <w:ind w:firstLine="708"/>
        <w:rPr>
          <w:rFonts w:eastAsia="Times New Roman" w:cs="Tahoma"/>
          <w:lang w:val="pl-PL"/>
        </w:rPr>
      </w:pPr>
      <w:r>
        <w:rPr>
          <w:rFonts w:eastAsia="Times New Roman" w:cs="Tahoma"/>
          <w:lang w:val="pl-PL"/>
        </w:rPr>
        <w:t>- szklanych, ceramicznych i kamiennych wykładzin podłogowych,</w:t>
      </w:r>
    </w:p>
    <w:p w:rsidR="00152096" w:rsidRDefault="007F422A">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70" w:lineRule="atLeast"/>
        <w:ind w:left="708"/>
        <w:rPr>
          <w:rFonts w:eastAsia="Times New Roman" w:cs="Tahoma"/>
          <w:lang w:val="pl-PL"/>
        </w:rPr>
      </w:pPr>
      <w:r>
        <w:rPr>
          <w:rFonts w:eastAsia="Times New Roman" w:cs="Tahoma"/>
          <w:lang w:val="pl-PL"/>
        </w:rPr>
        <w:t>- szkła stanowiącego osprzęt urządzeń technicznych (maszyn, aparatów, narzędzi, itp.), oraz osprzętu wszelkiego rodzaju instalacji,</w:t>
      </w:r>
    </w:p>
    <w:p w:rsidR="00152096" w:rsidRDefault="007F422A">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70" w:lineRule="atLeast"/>
        <w:ind w:firstLine="708"/>
        <w:rPr>
          <w:rFonts w:eastAsia="Times New Roman" w:cs="Tahoma"/>
          <w:lang w:val="pl-PL"/>
        </w:rPr>
      </w:pPr>
      <w:r>
        <w:rPr>
          <w:rFonts w:eastAsia="Times New Roman" w:cs="Tahoma"/>
          <w:lang w:val="pl-PL"/>
        </w:rPr>
        <w:t>- szyb, przedmiotów szklanych i płyt kamiennych w stanie uszkodzonym,</w:t>
      </w:r>
    </w:p>
    <w:p w:rsidR="00152096" w:rsidRDefault="007F422A">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70" w:lineRule="atLeast"/>
        <w:ind w:left="708"/>
        <w:rPr>
          <w:rFonts w:eastAsia="Times New Roman" w:cs="Tahoma"/>
          <w:lang w:val="pl-PL"/>
        </w:rPr>
      </w:pPr>
      <w:r>
        <w:rPr>
          <w:rFonts w:eastAsia="Times New Roman" w:cs="Tahoma"/>
          <w:lang w:val="pl-PL"/>
        </w:rPr>
        <w:t>- szyb, przedmiotów szklanych i płyt kamiennych przed ich ostatecznym zamontowaniem bądź zainstalowaniem w miejscu przeznaczenia,</w:t>
      </w:r>
    </w:p>
    <w:p w:rsidR="00152096" w:rsidRDefault="007F422A">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70" w:lineRule="atLeast"/>
        <w:ind w:firstLine="708"/>
        <w:rPr>
          <w:rFonts w:eastAsia="Times New Roman" w:cs="Tahoma"/>
          <w:lang w:val="pl-PL"/>
        </w:rPr>
      </w:pPr>
      <w:r>
        <w:rPr>
          <w:rFonts w:eastAsia="Times New Roman" w:cs="Tahoma"/>
          <w:lang w:val="pl-PL"/>
        </w:rPr>
        <w:t>- szyb w pojazdach i środkach transportowych.</w:t>
      </w:r>
    </w:p>
    <w:p w:rsidR="00152096" w:rsidRDefault="007F422A">
      <w:pPr>
        <w:spacing w:after="0" w:line="240" w:lineRule="auto"/>
        <w:ind w:left="720"/>
        <w:jc w:val="both"/>
        <w:rPr>
          <w:rFonts w:cs="Tahoma"/>
          <w:lang w:val="pl-PL"/>
        </w:rPr>
      </w:pPr>
      <w:r>
        <w:rPr>
          <w:rFonts w:cs="Tahoma"/>
          <w:lang w:val="pl-PL"/>
        </w:rPr>
        <w:t>Ponadto Ubezpieczyciel nie odpowiada za szkody :</w:t>
      </w:r>
    </w:p>
    <w:p w:rsidR="00152096" w:rsidRDefault="007F422A">
      <w:pPr>
        <w:spacing w:after="0" w:line="240" w:lineRule="auto"/>
        <w:ind w:left="720"/>
        <w:jc w:val="both"/>
        <w:rPr>
          <w:rFonts w:cs="Tahoma"/>
          <w:lang w:val="pl-PL"/>
        </w:rPr>
      </w:pPr>
      <w:r>
        <w:rPr>
          <w:rFonts w:cs="Tahoma"/>
          <w:lang w:val="pl-PL"/>
        </w:rPr>
        <w:t>- powstałe przy wymianie lub wymontowaniu ubezpieczonego przedmiotu</w:t>
      </w:r>
    </w:p>
    <w:p w:rsidR="00152096" w:rsidRDefault="007F422A">
      <w:pPr>
        <w:spacing w:after="0" w:line="240" w:lineRule="auto"/>
        <w:ind w:left="720"/>
        <w:jc w:val="both"/>
        <w:rPr>
          <w:rFonts w:cs="Tahoma"/>
          <w:lang w:val="pl-PL"/>
        </w:rPr>
      </w:pPr>
      <w:r>
        <w:rPr>
          <w:rFonts w:cs="Tahoma"/>
          <w:lang w:val="pl-PL"/>
        </w:rPr>
        <w:t>- powstałe wskutek zadrapania, porysowania, poplamienia bądź zmiany barwy</w:t>
      </w:r>
    </w:p>
    <w:p w:rsidR="00152096" w:rsidRDefault="00152096">
      <w:pPr>
        <w:spacing w:after="0" w:line="240" w:lineRule="auto"/>
        <w:ind w:left="720"/>
        <w:jc w:val="both"/>
        <w:rPr>
          <w:rFonts w:cs="Tahoma"/>
          <w:b/>
          <w:lang w:val="pl-PL"/>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spacing w:after="0" w:line="240" w:lineRule="auto"/>
        <w:ind w:left="720"/>
        <w:jc w:val="both"/>
        <w:rPr>
          <w:rFonts w:cs="Tahoma"/>
          <w:b/>
          <w:lang w:val="pl-PL"/>
        </w:rPr>
      </w:pPr>
      <w:r>
        <w:rPr>
          <w:rFonts w:cs="Tahoma"/>
          <w:b/>
          <w:lang w:val="pl-PL"/>
        </w:rPr>
        <w:t>Zamawiający</w:t>
      </w:r>
      <w:r w:rsidR="00573EE3">
        <w:rPr>
          <w:rFonts w:cs="Tahoma"/>
          <w:b/>
          <w:lang w:val="pl-PL"/>
        </w:rPr>
        <w:t xml:space="preserve"> nie dopuszcza zmiany</w:t>
      </w:r>
      <w:r>
        <w:rPr>
          <w:rFonts w:cs="Tahoma"/>
          <w:b/>
          <w:lang w:val="pl-PL"/>
        </w:rPr>
        <w:t>.</w:t>
      </w:r>
    </w:p>
    <w:p w:rsidR="00152096" w:rsidRDefault="00152096">
      <w:pPr>
        <w:spacing w:after="0" w:line="240" w:lineRule="auto"/>
        <w:ind w:left="720"/>
        <w:jc w:val="both"/>
        <w:rPr>
          <w:rFonts w:cs="Tahoma"/>
          <w:lang w:val="pl-PL"/>
        </w:rPr>
      </w:pPr>
    </w:p>
    <w:p w:rsidR="00152096" w:rsidRDefault="007F422A">
      <w:pPr>
        <w:numPr>
          <w:ilvl w:val="0"/>
          <w:numId w:val="1"/>
        </w:numPr>
        <w:spacing w:after="0" w:line="240" w:lineRule="auto"/>
        <w:ind w:left="720" w:hanging="360"/>
        <w:jc w:val="both"/>
        <w:rPr>
          <w:rFonts w:cs="Tahoma"/>
          <w:lang w:val="pl-PL"/>
        </w:rPr>
      </w:pPr>
      <w:r>
        <w:rPr>
          <w:rFonts w:cs="Tahoma"/>
          <w:lang w:val="pl-PL"/>
        </w:rPr>
        <w:t xml:space="preserve">W odniesieniu do ubezpieczenia mienia od pożaru i innych zdarzeń losowych  zapisów </w:t>
      </w:r>
      <w:proofErr w:type="spellStart"/>
      <w:r>
        <w:rPr>
          <w:rFonts w:cs="Tahoma"/>
          <w:lang w:val="pl-PL"/>
        </w:rPr>
        <w:t>kl</w:t>
      </w:r>
      <w:proofErr w:type="spellEnd"/>
      <w:r>
        <w:rPr>
          <w:rFonts w:cs="Tahoma"/>
          <w:lang w:val="pl-PL"/>
        </w:rPr>
        <w:t xml:space="preserve"> 2 – ubezpieczenie ryzyka dewastacji prosimy o dodanie poniższego zapisu „Ochrona ubezpieczeniowa nie dotyczy obiektów opuszczonych i niewykorzystywanych przez okres dłuższy niż 30 dni.</w:t>
      </w:r>
    </w:p>
    <w:p w:rsidR="00152096" w:rsidRDefault="00152096">
      <w:pPr>
        <w:spacing w:after="0" w:line="240" w:lineRule="auto"/>
        <w:ind w:left="720"/>
        <w:jc w:val="both"/>
        <w:rPr>
          <w:rFonts w:cs="Tahoma"/>
          <w:lang w:val="pl-PL"/>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1257A" w:rsidRDefault="007F422A">
      <w:pPr>
        <w:rPr>
          <w:rFonts w:cs="Tahoma"/>
          <w:lang w:val="pl-PL"/>
        </w:rPr>
      </w:pPr>
      <w:r w:rsidRPr="0024131B">
        <w:rPr>
          <w:rFonts w:cs="Tahoma"/>
          <w:color w:val="FF0000"/>
          <w:lang w:val="pl-PL"/>
        </w:rPr>
        <w:tab/>
      </w:r>
      <w:r w:rsidR="00603A6A">
        <w:rPr>
          <w:rFonts w:cs="Tahoma"/>
          <w:b/>
          <w:lang w:val="pl-PL"/>
        </w:rPr>
        <w:t>Zamawiający</w:t>
      </w:r>
      <w:r w:rsidRPr="00375035">
        <w:rPr>
          <w:rFonts w:cs="Tahoma"/>
          <w:b/>
          <w:lang w:val="pl-PL"/>
        </w:rPr>
        <w:t xml:space="preserve"> dopuszcza zmiany zapisu.</w:t>
      </w:r>
    </w:p>
    <w:p w:rsidR="00152096" w:rsidRDefault="007F422A">
      <w:pPr>
        <w:numPr>
          <w:ilvl w:val="0"/>
          <w:numId w:val="1"/>
        </w:numPr>
        <w:spacing w:after="0" w:line="240" w:lineRule="auto"/>
        <w:ind w:left="720" w:hanging="360"/>
        <w:jc w:val="both"/>
        <w:rPr>
          <w:rFonts w:cs="Tahoma"/>
          <w:lang w:val="pl-PL"/>
        </w:rPr>
      </w:pPr>
      <w:r>
        <w:rPr>
          <w:rFonts w:cs="Tahoma"/>
          <w:lang w:val="pl-PL"/>
        </w:rPr>
        <w:t xml:space="preserve">W odniesieniu do ubezpieczenia mienia od pożaru i innych zdarzeń losowych zapisów </w:t>
      </w:r>
      <w:proofErr w:type="spellStart"/>
      <w:r>
        <w:rPr>
          <w:rFonts w:cs="Tahoma"/>
          <w:lang w:val="pl-PL"/>
        </w:rPr>
        <w:t>kl</w:t>
      </w:r>
      <w:proofErr w:type="spellEnd"/>
      <w:r>
        <w:rPr>
          <w:rFonts w:cs="Tahoma"/>
          <w:lang w:val="pl-PL"/>
        </w:rPr>
        <w:t xml:space="preserve"> 3 – ubezpieczenie pośredniego uderzenia pioruna prosimy o dodanie poniższego wyłączenia „ W/w zdarzenie losowe pozostają objęte ochroną ubezpieczeniową pod warunkiem odpowiedniego do zagrożenia zabezpieczenia mienia poprzez zainstalowanie ograniczników przepięcia (odgromniki, ochronniki, warystory, filtry). 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w:t>
      </w:r>
    </w:p>
    <w:p w:rsidR="00152096" w:rsidRDefault="00152096">
      <w:pPr>
        <w:spacing w:after="0" w:line="240" w:lineRule="auto"/>
        <w:ind w:left="720"/>
        <w:jc w:val="both"/>
        <w:rPr>
          <w:rFonts w:cs="Tahoma"/>
          <w:lang w:val="pl-PL"/>
        </w:rPr>
      </w:pPr>
    </w:p>
    <w:p w:rsidR="00152096" w:rsidRDefault="007F422A">
      <w:pPr>
        <w:pStyle w:val="Akapitzlist"/>
        <w:spacing w:line="240" w:lineRule="auto"/>
        <w:ind w:right="360"/>
        <w:jc w:val="both"/>
        <w:rPr>
          <w:rFonts w:ascii="Calibri" w:hAnsi="Calibri" w:cs="Tahoma"/>
          <w:sz w:val="22"/>
        </w:rPr>
      </w:pPr>
      <w:r>
        <w:rPr>
          <w:rFonts w:ascii="Calibri" w:hAnsi="Calibri" w:cs="Tahoma"/>
          <w:b/>
          <w:color w:val="000000"/>
          <w:sz w:val="22"/>
          <w:u w:val="single"/>
        </w:rPr>
        <w:t>Odpowiedź :</w:t>
      </w:r>
    </w:p>
    <w:p w:rsidR="00152096" w:rsidRDefault="007F422A">
      <w:pPr>
        <w:pStyle w:val="Akapitzlist"/>
        <w:rPr>
          <w:rFonts w:ascii="Calibri" w:hAnsi="Calibri" w:cs="Tahoma"/>
          <w:b/>
          <w:sz w:val="22"/>
        </w:rPr>
      </w:pPr>
      <w:r>
        <w:rPr>
          <w:rFonts w:ascii="Calibri" w:hAnsi="Calibri" w:cs="Tahoma"/>
          <w:b/>
          <w:sz w:val="22"/>
        </w:rPr>
        <w:t>Zamawiający nie dopuszcza zmiany zapisu.</w:t>
      </w:r>
    </w:p>
    <w:p w:rsidR="00152096" w:rsidRDefault="00152096">
      <w:pPr>
        <w:pStyle w:val="Akapitzlist"/>
        <w:rPr>
          <w:rFonts w:ascii="Calibri" w:hAnsi="Calibri" w:cs="Tahoma"/>
          <w:sz w:val="22"/>
        </w:rPr>
      </w:pPr>
    </w:p>
    <w:p w:rsidR="00152096" w:rsidRDefault="007F422A">
      <w:pPr>
        <w:numPr>
          <w:ilvl w:val="0"/>
          <w:numId w:val="1"/>
        </w:numPr>
        <w:spacing w:after="0" w:line="240" w:lineRule="auto"/>
        <w:ind w:left="720" w:hanging="360"/>
        <w:jc w:val="both"/>
        <w:rPr>
          <w:rFonts w:cs="Tahoma"/>
          <w:lang w:val="pl-PL"/>
        </w:rPr>
      </w:pPr>
      <w:r>
        <w:rPr>
          <w:rFonts w:cs="Tahoma"/>
          <w:lang w:val="pl-PL"/>
        </w:rPr>
        <w:t xml:space="preserve">W odniesieniu do ubezpieczenia mienia od pożaru i innych zdarzeń losowych i sprzętu elektronicznego zapisów </w:t>
      </w:r>
      <w:proofErr w:type="spellStart"/>
      <w:r>
        <w:rPr>
          <w:rFonts w:cs="Tahoma"/>
          <w:lang w:val="pl-PL"/>
        </w:rPr>
        <w:t>kl</w:t>
      </w:r>
      <w:proofErr w:type="spellEnd"/>
      <w:r>
        <w:rPr>
          <w:rFonts w:cs="Tahoma"/>
          <w:lang w:val="pl-PL"/>
        </w:rPr>
        <w:t xml:space="preserve"> 6 – czy Zamawiający dopuszcza zmianę na poniższą treść klauzuli</w:t>
      </w:r>
    </w:p>
    <w:p w:rsidR="00152096" w:rsidRDefault="007F422A">
      <w:pPr>
        <w:spacing w:after="0" w:line="240" w:lineRule="auto"/>
        <w:ind w:left="720"/>
        <w:jc w:val="both"/>
        <w:rPr>
          <w:rFonts w:cs="Tahoma"/>
          <w:lang w:val="pl-PL"/>
        </w:rPr>
      </w:pPr>
      <w:r>
        <w:rPr>
          <w:rFonts w:cs="Tahoma"/>
          <w:lang w:val="pl-PL"/>
        </w:rPr>
        <w:t>„1. Z zachowaniem pozostałych, nie zmienionych niniejszą klauzulą postanowień ogólnych warunków ubezpieczenia i innych postanowień umowy ubezpieczenia, ustala się że:</w:t>
      </w:r>
    </w:p>
    <w:p w:rsidR="00152096" w:rsidRDefault="007F422A">
      <w:pPr>
        <w:spacing w:after="0" w:line="240" w:lineRule="auto"/>
        <w:ind w:left="720"/>
        <w:jc w:val="both"/>
        <w:rPr>
          <w:rFonts w:cs="Tahoma"/>
          <w:lang w:val="pl-PL"/>
        </w:rPr>
      </w:pPr>
      <w:r>
        <w:rPr>
          <w:rFonts w:cs="Tahoma"/>
          <w:lang w:val="pl-PL"/>
        </w:rPr>
        <w:t>a) nowo nabyte środki trwałe spełniające warunki objęcia ubezpieczeniem zgodnie z umową ubezpieczenia,</w:t>
      </w:r>
    </w:p>
    <w:p w:rsidR="00152096" w:rsidRDefault="007F422A">
      <w:pPr>
        <w:spacing w:after="0" w:line="240" w:lineRule="auto"/>
        <w:ind w:left="720"/>
        <w:jc w:val="both"/>
        <w:rPr>
          <w:rFonts w:cs="Tahoma"/>
          <w:lang w:val="pl-PL"/>
        </w:rPr>
      </w:pPr>
      <w:r>
        <w:rPr>
          <w:rFonts w:cs="Tahoma"/>
          <w:lang w:val="pl-PL"/>
        </w:rPr>
        <w:t xml:space="preserve">b) wzrost wartości przedmiotu ubezpieczenia stanowiącego środki trwałe – wskutek dokonanych inwestycji, zostają objęte automatyczną ochroną ubezpieczeniową w zakresie i na zasadach określonych w umowie ubezpieczenia, od chwili objęcia ich w posiadanie przez Ubezpieczonego a w przypadku wzrostu środków trwałych w skutek dokonanych inwestycji od chwili ukończenia prac modernizacyjnych (inwestycji).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w:t>
      </w:r>
      <w:r>
        <w:rPr>
          <w:rFonts w:cs="Tahoma"/>
          <w:lang w:val="pl-PL"/>
        </w:rPr>
        <w:lastRenderedPageBreak/>
        <w:t>zdawczo – odbiorczym. Ochroną ubezpieczeniową nie jest objęte mienie podczas załadunku, transportu, rozładunku oraz prac budowlano-montażowych(w tym prób i testów).</w:t>
      </w:r>
    </w:p>
    <w:p w:rsidR="00152096" w:rsidRDefault="007F422A">
      <w:pPr>
        <w:spacing w:after="0" w:line="240" w:lineRule="auto"/>
        <w:ind w:left="720"/>
        <w:jc w:val="both"/>
        <w:rPr>
          <w:rFonts w:cs="Tahoma"/>
          <w:lang w:val="pl-PL"/>
        </w:rPr>
      </w:pPr>
      <w:r>
        <w:rPr>
          <w:rFonts w:cs="Tahoma"/>
          <w:lang w:val="pl-PL"/>
        </w:rPr>
        <w:t>2. Ubezpieczający lub Ubezpieczony zobowiązany jest zgłosić zwiększenie sumy ubezpieczenia w terminie do 20 dni po zakończeniu każdego półrocza okresu ubezpieczenia</w:t>
      </w:r>
    </w:p>
    <w:p w:rsidR="00152096" w:rsidRDefault="007F422A">
      <w:pPr>
        <w:spacing w:after="0" w:line="240" w:lineRule="auto"/>
        <w:ind w:left="720"/>
        <w:jc w:val="both"/>
        <w:rPr>
          <w:rFonts w:cs="Tahoma"/>
          <w:lang w:val="pl-PL"/>
        </w:rPr>
      </w:pPr>
      <w:r>
        <w:rPr>
          <w:rFonts w:cs="Tahoma"/>
          <w:lang w:val="pl-PL"/>
        </w:rPr>
        <w:t>3. Odpowiedzialność Ubezpieczyciela w stosunku do automatycznie ubezpieczonego na mocy niniejszej klauzuli mienia ograniczona jest do wysokości 20% wartości łącznej sumy ubezpieczenia</w:t>
      </w:r>
    </w:p>
    <w:p w:rsidR="00152096" w:rsidRDefault="007F422A">
      <w:pPr>
        <w:spacing w:after="0" w:line="240" w:lineRule="auto"/>
        <w:ind w:left="720"/>
        <w:jc w:val="both"/>
        <w:rPr>
          <w:rFonts w:cs="Tahoma"/>
          <w:lang w:val="pl-PL"/>
        </w:rPr>
      </w:pPr>
      <w:r>
        <w:rPr>
          <w:rFonts w:cs="Tahoma"/>
          <w:lang w:val="pl-PL"/>
        </w:rPr>
        <w:t>4. Nowo nabyte środki trwałe oraz inwestycje, których łączna suma ubezpieczenia przekracza przyjęty w klauzuli limit, mogą być ubezpieczone na zasadach określonych w ogólnych warunkach ubezpieczenia.</w:t>
      </w:r>
    </w:p>
    <w:p w:rsidR="00152096" w:rsidRDefault="007F422A">
      <w:pPr>
        <w:spacing w:after="0" w:line="240" w:lineRule="auto"/>
        <w:ind w:left="720"/>
        <w:jc w:val="both"/>
        <w:rPr>
          <w:rFonts w:cs="Tahoma"/>
          <w:lang w:val="pl-PL"/>
        </w:rPr>
      </w:pPr>
      <w:r>
        <w:rPr>
          <w:rFonts w:cs="Tahoma"/>
          <w:lang w:val="pl-PL"/>
        </w:rPr>
        <w:t>5. Dopłata składki wynikającej z rozszerzenia ochrony ubezpieczeniowej następuje na następujących zasadach: Ubezpieczający jest zobowiązany zapłacić składkę za okres świadczonej ochrony ubezpieczeniowej w terminie 30 dni po zakończeniu każdego półrocza . Składka będzie naliczona od wzrostu sumy ubezpieczenia w danym</w:t>
      </w:r>
    </w:p>
    <w:p w:rsidR="00152096" w:rsidRDefault="007F422A">
      <w:pPr>
        <w:spacing w:after="0" w:line="240" w:lineRule="auto"/>
        <w:ind w:left="720"/>
        <w:jc w:val="both"/>
        <w:rPr>
          <w:rFonts w:cs="Tahoma"/>
          <w:lang w:val="pl-PL"/>
        </w:rPr>
      </w:pPr>
      <w:r>
        <w:rPr>
          <w:rFonts w:cs="Tahoma"/>
          <w:lang w:val="pl-PL"/>
        </w:rPr>
        <w:t>okresie (półrocznym, rocznym) i 50% wysokości stawki rocznej.</w:t>
      </w:r>
    </w:p>
    <w:p w:rsidR="00152096" w:rsidRDefault="007F422A">
      <w:pPr>
        <w:spacing w:after="0" w:line="240" w:lineRule="auto"/>
        <w:ind w:left="720"/>
        <w:jc w:val="both"/>
        <w:rPr>
          <w:rFonts w:cs="Tahoma"/>
          <w:lang w:val="pl-PL"/>
        </w:rPr>
      </w:pPr>
      <w:r>
        <w:rPr>
          <w:rFonts w:cs="Tahoma"/>
          <w:lang w:val="pl-PL"/>
        </w:rPr>
        <w:t xml:space="preserve">6. W przypadku, gdy w okresie ubezpieczenia suma ubezpieczenia mienia ulegnie zmniejszeniu wskutek jego zbycia, rozbiórki bądź </w:t>
      </w:r>
      <w:proofErr w:type="spellStart"/>
      <w:r>
        <w:rPr>
          <w:rFonts w:cs="Tahoma"/>
          <w:lang w:val="pl-PL"/>
        </w:rPr>
        <w:t>zezłomowania</w:t>
      </w:r>
      <w:proofErr w:type="spellEnd"/>
      <w:r>
        <w:rPr>
          <w:rFonts w:cs="Tahoma"/>
          <w:lang w:val="pl-PL"/>
        </w:rPr>
        <w:t>, PZU SA dokona rozliczenia składki na zasadach określonych w ust. 5.</w:t>
      </w:r>
      <w:r>
        <w:rPr>
          <w:rFonts w:cs="Tahoma"/>
          <w:lang w:val="pl-PL"/>
        </w:rPr>
        <w:br/>
      </w: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416EF8" w:rsidRPr="0011257A" w:rsidRDefault="007F422A" w:rsidP="0011257A">
      <w:pPr>
        <w:spacing w:after="0" w:line="240" w:lineRule="auto"/>
        <w:ind w:left="720"/>
        <w:jc w:val="both"/>
        <w:rPr>
          <w:rFonts w:cs="Tahoma"/>
          <w:b/>
          <w:lang w:val="pl-PL"/>
        </w:rPr>
      </w:pPr>
      <w:r>
        <w:rPr>
          <w:rFonts w:cs="Tahoma"/>
          <w:b/>
          <w:lang w:val="pl-PL"/>
        </w:rPr>
        <w:t>Zamawiający dopuszcza zmianę.</w:t>
      </w:r>
    </w:p>
    <w:p w:rsidR="00152096" w:rsidRDefault="007F422A">
      <w:pPr>
        <w:pStyle w:val="Akapitzlist"/>
        <w:numPr>
          <w:ilvl w:val="0"/>
          <w:numId w:val="1"/>
        </w:numPr>
        <w:tabs>
          <w:tab w:val="left" w:pos="1020"/>
        </w:tabs>
        <w:spacing w:before="120" w:line="276" w:lineRule="auto"/>
        <w:ind w:left="720" w:right="284" w:hanging="360"/>
        <w:jc w:val="both"/>
        <w:rPr>
          <w:rFonts w:ascii="Calibri" w:eastAsia="Times New Roman" w:hAnsi="Calibri" w:cs="Tahoma"/>
          <w:color w:val="000000"/>
          <w:spacing w:val="0"/>
          <w:sz w:val="22"/>
        </w:rPr>
      </w:pPr>
      <w:r>
        <w:rPr>
          <w:rFonts w:ascii="Calibri" w:eastAsia="Times New Roman" w:hAnsi="Calibri" w:cs="Tahoma"/>
          <w:color w:val="000000"/>
          <w:spacing w:val="0"/>
          <w:sz w:val="22"/>
        </w:rPr>
        <w:t xml:space="preserve">W odniesieniu do ubezpieczenia mienia od pożaru i innych zdarzeń losowych oraz sprzętu elektronicznego, zapisów </w:t>
      </w:r>
      <w:proofErr w:type="spellStart"/>
      <w:r>
        <w:rPr>
          <w:rFonts w:ascii="Calibri" w:eastAsia="Times New Roman" w:hAnsi="Calibri" w:cs="Tahoma"/>
          <w:color w:val="000000"/>
          <w:spacing w:val="0"/>
          <w:sz w:val="22"/>
        </w:rPr>
        <w:t>kl</w:t>
      </w:r>
      <w:proofErr w:type="spellEnd"/>
      <w:r>
        <w:rPr>
          <w:rFonts w:ascii="Calibri" w:eastAsia="Times New Roman" w:hAnsi="Calibri" w:cs="Tahoma"/>
          <w:color w:val="000000"/>
          <w:spacing w:val="0"/>
          <w:sz w:val="22"/>
        </w:rPr>
        <w:t xml:space="preserve"> 8 – czy Zamawiający dopuszcza zmianę na poniższą treść klauzuli : </w:t>
      </w:r>
    </w:p>
    <w:p w:rsidR="00152096" w:rsidRDefault="007F422A">
      <w:pPr>
        <w:pStyle w:val="Akapitzlist"/>
        <w:tabs>
          <w:tab w:val="left" w:pos="1020"/>
        </w:tabs>
        <w:spacing w:before="120" w:line="276" w:lineRule="auto"/>
        <w:ind w:right="284"/>
        <w:jc w:val="both"/>
        <w:rPr>
          <w:rFonts w:ascii="Calibri" w:eastAsia="Times New Roman" w:hAnsi="Calibri" w:cs="Tahoma"/>
          <w:color w:val="000000"/>
          <w:spacing w:val="0"/>
          <w:sz w:val="22"/>
        </w:rPr>
      </w:pPr>
      <w:r>
        <w:rPr>
          <w:rFonts w:ascii="Calibri" w:eastAsia="Times New Roman" w:hAnsi="Calibri" w:cs="Tahoma"/>
          <w:color w:val="000000"/>
          <w:spacing w:val="0"/>
          <w:sz w:val="22"/>
        </w:rPr>
        <w:t>„1. Z zachowaniem pozostałych nie zmienionych niniejszą klauzulą postanowień ogólnych warunków ubezpieczenia i innych postanowień umowy ubezpieczenia, ustala się, że Ubezpieczyciel obejmuje ochroną ubezpieczeniową wynagrodzenia należne ekspertom zewnętrznym: architektom, inspektorom, inżynierom, konsultantom, które Ubezpieczony zobowiązany jest zapłacić, a których zatrudnienie jest konieczne w celu odtworzenia mienia dotkniętego szkodą, za którą Ubezpieczyciel zobowiązał się wypłacić odszkodowanie na mocy powyższych warunków, pod warunkiem, że zatrudnienie eksperta było uzgodnione i zaakceptowane przez Ubezpieczyciela.</w:t>
      </w:r>
    </w:p>
    <w:p w:rsidR="00152096" w:rsidRDefault="007F422A">
      <w:pPr>
        <w:pStyle w:val="Akapitzlist"/>
        <w:tabs>
          <w:tab w:val="left" w:pos="1020"/>
        </w:tabs>
        <w:spacing w:before="120" w:line="276" w:lineRule="auto"/>
        <w:ind w:right="284"/>
        <w:jc w:val="both"/>
        <w:rPr>
          <w:rFonts w:ascii="Calibri" w:eastAsia="Times New Roman" w:hAnsi="Calibri" w:cs="Tahoma"/>
          <w:color w:val="000000"/>
          <w:spacing w:val="0"/>
          <w:sz w:val="22"/>
        </w:rPr>
      </w:pPr>
      <w:r>
        <w:rPr>
          <w:rFonts w:ascii="Calibri" w:eastAsia="Times New Roman" w:hAnsi="Calibri" w:cs="Tahoma"/>
          <w:color w:val="000000"/>
          <w:spacing w:val="0"/>
          <w:sz w:val="22"/>
        </w:rPr>
        <w:t>2. Z zakresu ubezpieczenia na warunkach niniejszej klauzuli wyłączone są koszty poniesione na wyliczenie i przygotowanie roszczenia przez Ubezpieczonego lub Ubezpieczającego.</w:t>
      </w:r>
    </w:p>
    <w:p w:rsidR="00152096" w:rsidRDefault="007F422A">
      <w:pPr>
        <w:pStyle w:val="Akapitzlist"/>
        <w:tabs>
          <w:tab w:val="left" w:pos="1020"/>
        </w:tabs>
        <w:spacing w:before="120" w:line="276" w:lineRule="auto"/>
        <w:ind w:right="284"/>
        <w:jc w:val="both"/>
        <w:rPr>
          <w:rFonts w:ascii="Calibri" w:eastAsia="Times New Roman" w:hAnsi="Calibri" w:cs="Tahoma"/>
          <w:color w:val="000000"/>
          <w:spacing w:val="0"/>
          <w:sz w:val="22"/>
        </w:rPr>
      </w:pPr>
      <w:r>
        <w:rPr>
          <w:rFonts w:ascii="Calibri" w:eastAsia="Times New Roman" w:hAnsi="Calibri" w:cs="Tahoma"/>
          <w:color w:val="000000"/>
          <w:spacing w:val="0"/>
          <w:sz w:val="22"/>
        </w:rPr>
        <w:t>3. Z tytułu ubezpieczenia powyższych kosztów Ubezpieczyciel ponosi odpowiedzialność do wysokości normalnie obowiązujących stawek rynkowych.</w:t>
      </w:r>
    </w:p>
    <w:p w:rsidR="00152096" w:rsidRDefault="007F422A">
      <w:pPr>
        <w:pStyle w:val="Akapitzlist"/>
        <w:tabs>
          <w:tab w:val="left" w:pos="1020"/>
        </w:tabs>
        <w:spacing w:before="120" w:line="276" w:lineRule="auto"/>
        <w:ind w:right="284"/>
        <w:jc w:val="both"/>
        <w:rPr>
          <w:rFonts w:ascii="Calibri" w:eastAsia="Times New Roman" w:hAnsi="Calibri" w:cs="Tahoma"/>
          <w:color w:val="000000"/>
          <w:spacing w:val="0"/>
          <w:sz w:val="22"/>
        </w:rPr>
      </w:pPr>
      <w:r>
        <w:rPr>
          <w:rFonts w:ascii="Calibri" w:eastAsia="Times New Roman" w:hAnsi="Calibri" w:cs="Tahoma"/>
          <w:color w:val="000000"/>
          <w:spacing w:val="0"/>
          <w:sz w:val="22"/>
        </w:rPr>
        <w:t xml:space="preserve">4. W przypadku </w:t>
      </w:r>
      <w:proofErr w:type="spellStart"/>
      <w:r>
        <w:rPr>
          <w:rFonts w:ascii="Calibri" w:eastAsia="Times New Roman" w:hAnsi="Calibri" w:cs="Tahoma"/>
          <w:color w:val="000000"/>
          <w:spacing w:val="0"/>
          <w:sz w:val="22"/>
        </w:rPr>
        <w:t>niedoubezpieczenia</w:t>
      </w:r>
      <w:proofErr w:type="spellEnd"/>
      <w:r>
        <w:rPr>
          <w:rFonts w:ascii="Calibri" w:eastAsia="Times New Roman" w:hAnsi="Calibri" w:cs="Tahoma"/>
          <w:color w:val="000000"/>
          <w:spacing w:val="0"/>
          <w:sz w:val="22"/>
        </w:rPr>
        <w:t xml:space="preserve"> mienia, świadczenie wypłacane przez Ubezpieczyciela tytułem zwrotu kosztów wymienionych w niniejszej klauzuli jest zmniejszane  w takim stosunku jak odszkodowanie tj. proporcjonalnie do stopnia zaniżenia sumy ubezpieczenia.</w:t>
      </w:r>
    </w:p>
    <w:p w:rsidR="00152096" w:rsidRDefault="007F422A">
      <w:pPr>
        <w:pStyle w:val="Akapitzlist"/>
        <w:tabs>
          <w:tab w:val="left" w:pos="1020"/>
        </w:tabs>
        <w:spacing w:before="120" w:line="276" w:lineRule="auto"/>
        <w:ind w:right="284"/>
        <w:jc w:val="both"/>
        <w:rPr>
          <w:rFonts w:ascii="Calibri" w:eastAsia="Times New Roman" w:hAnsi="Calibri" w:cs="Tahoma"/>
          <w:color w:val="000000"/>
          <w:spacing w:val="0"/>
          <w:sz w:val="22"/>
        </w:rPr>
      </w:pPr>
      <w:r>
        <w:rPr>
          <w:rFonts w:ascii="Calibri" w:eastAsia="Times New Roman" w:hAnsi="Calibri" w:cs="Tahoma"/>
          <w:color w:val="000000"/>
          <w:spacing w:val="0"/>
          <w:sz w:val="22"/>
        </w:rPr>
        <w:t xml:space="preserve">5. Limit odpowiedzialności: 100 000,00 zł na jedno i wszystkie zdarzenia w okresie ubezpieczenia. </w:t>
      </w:r>
    </w:p>
    <w:p w:rsidR="00152096" w:rsidRDefault="00152096">
      <w:pPr>
        <w:pStyle w:val="Akapitzlist"/>
        <w:tabs>
          <w:tab w:val="left" w:pos="1020"/>
        </w:tabs>
        <w:spacing w:before="120" w:line="276" w:lineRule="auto"/>
        <w:ind w:right="284"/>
        <w:jc w:val="both"/>
        <w:rPr>
          <w:rFonts w:ascii="Calibri" w:eastAsia="Times New Roman" w:hAnsi="Calibri" w:cs="Tahoma"/>
          <w:color w:val="000000"/>
          <w:spacing w:val="0"/>
          <w:sz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Default="007F422A">
      <w:pPr>
        <w:pStyle w:val="Akapitzlist"/>
        <w:rPr>
          <w:rFonts w:ascii="Calibri" w:hAnsi="Calibri" w:cs="Tahoma"/>
          <w:b/>
          <w:sz w:val="22"/>
        </w:rPr>
      </w:pPr>
      <w:r>
        <w:rPr>
          <w:rFonts w:ascii="Calibri" w:hAnsi="Calibri" w:cs="Tahoma"/>
          <w:b/>
          <w:sz w:val="22"/>
        </w:rPr>
        <w:t>Zamawiający nie dopuszcza zmiany zapisu.</w:t>
      </w:r>
    </w:p>
    <w:p w:rsidR="00152096" w:rsidRDefault="00152096">
      <w:pPr>
        <w:pStyle w:val="Akapitzlist"/>
        <w:spacing w:line="240" w:lineRule="auto"/>
        <w:ind w:right="360"/>
        <w:jc w:val="both"/>
        <w:rPr>
          <w:rFonts w:ascii="Calibri" w:hAnsi="Calibri" w:cs="Tahoma"/>
          <w:b/>
          <w:color w:val="000000"/>
          <w:sz w:val="22"/>
          <w:u w:val="single"/>
        </w:rPr>
      </w:pPr>
    </w:p>
    <w:p w:rsidR="00152096" w:rsidRDefault="007F422A">
      <w:pPr>
        <w:pStyle w:val="Akapitzlist"/>
        <w:numPr>
          <w:ilvl w:val="0"/>
          <w:numId w:val="1"/>
        </w:numPr>
        <w:tabs>
          <w:tab w:val="left" w:pos="1020"/>
        </w:tabs>
        <w:spacing w:before="120" w:line="276" w:lineRule="auto"/>
        <w:ind w:left="720" w:right="284" w:hanging="360"/>
        <w:jc w:val="both"/>
        <w:rPr>
          <w:rFonts w:ascii="Calibri" w:eastAsia="Times New Roman" w:hAnsi="Calibri" w:cs="Tahoma"/>
          <w:color w:val="000000"/>
          <w:spacing w:val="0"/>
          <w:sz w:val="22"/>
        </w:rPr>
      </w:pPr>
      <w:r>
        <w:rPr>
          <w:rFonts w:ascii="Calibri" w:eastAsia="Times New Roman" w:hAnsi="Calibri" w:cs="Tahoma"/>
          <w:color w:val="000000"/>
          <w:spacing w:val="0"/>
          <w:sz w:val="22"/>
        </w:rPr>
        <w:t>W odniesieniu do ubezpieczenia OC proszę o wysokość obrotu ostatni zamknięty okres obrachunkowy oraz liczbę pracowników.</w:t>
      </w:r>
    </w:p>
    <w:p w:rsidR="00152096" w:rsidRDefault="00152096">
      <w:pPr>
        <w:pStyle w:val="Akapitzlist"/>
        <w:tabs>
          <w:tab w:val="left" w:pos="1020"/>
        </w:tabs>
        <w:spacing w:before="120" w:line="276" w:lineRule="auto"/>
        <w:ind w:right="284"/>
        <w:jc w:val="both"/>
        <w:rPr>
          <w:rFonts w:ascii="Calibri" w:eastAsia="Times New Roman" w:hAnsi="Calibri" w:cs="Tahoma"/>
          <w:color w:val="000000"/>
          <w:spacing w:val="0"/>
          <w:sz w:val="22"/>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Odpowiedź :</w:t>
      </w:r>
    </w:p>
    <w:p w:rsidR="00152096" w:rsidRPr="00375035" w:rsidRDefault="007F422A" w:rsidP="00375035">
      <w:pPr>
        <w:pStyle w:val="Akapitzlist"/>
        <w:tabs>
          <w:tab w:val="left" w:pos="2835"/>
        </w:tabs>
        <w:spacing w:line="240" w:lineRule="auto"/>
        <w:ind w:right="360"/>
        <w:jc w:val="both"/>
        <w:rPr>
          <w:rFonts w:ascii="Calibri" w:hAnsi="Calibri" w:cs="Tahoma"/>
          <w:b/>
          <w:color w:val="auto"/>
          <w:sz w:val="22"/>
        </w:rPr>
      </w:pPr>
      <w:r w:rsidRPr="00375035">
        <w:rPr>
          <w:rFonts w:ascii="Calibri" w:hAnsi="Calibri" w:cs="Tahoma"/>
          <w:b/>
          <w:color w:val="auto"/>
          <w:sz w:val="22"/>
        </w:rPr>
        <w:t xml:space="preserve">Liczba pracowników : </w:t>
      </w:r>
      <w:r w:rsidR="00375035">
        <w:rPr>
          <w:rFonts w:ascii="Calibri" w:hAnsi="Calibri" w:cs="Tahoma"/>
          <w:b/>
          <w:color w:val="auto"/>
          <w:sz w:val="22"/>
        </w:rPr>
        <w:t>356 osób</w:t>
      </w:r>
    </w:p>
    <w:p w:rsidR="00152096" w:rsidRPr="008F7F8B" w:rsidRDefault="008F7F8B">
      <w:pPr>
        <w:pStyle w:val="Akapitzlist"/>
        <w:tabs>
          <w:tab w:val="left" w:pos="2835"/>
        </w:tabs>
        <w:spacing w:line="240" w:lineRule="auto"/>
        <w:ind w:right="360"/>
        <w:jc w:val="both"/>
        <w:rPr>
          <w:rFonts w:ascii="Calibri" w:hAnsi="Calibri" w:cs="Tahoma"/>
          <w:b/>
          <w:color w:val="auto"/>
          <w:sz w:val="22"/>
        </w:rPr>
      </w:pPr>
      <w:r w:rsidRPr="008F7F8B">
        <w:rPr>
          <w:rFonts w:ascii="Calibri" w:hAnsi="Calibri" w:cs="Tahoma"/>
          <w:b/>
          <w:color w:val="auto"/>
          <w:sz w:val="22"/>
        </w:rPr>
        <w:t xml:space="preserve">Liczba studentów na studiach stacjonarnych i niestacjonarnych : </w:t>
      </w:r>
      <w:r>
        <w:rPr>
          <w:rFonts w:ascii="Calibri" w:hAnsi="Calibri" w:cs="Tahoma"/>
          <w:b/>
          <w:color w:val="auto"/>
          <w:sz w:val="22"/>
        </w:rPr>
        <w:t>864</w:t>
      </w:r>
    </w:p>
    <w:p w:rsidR="00152096" w:rsidRPr="00375035" w:rsidRDefault="007F422A">
      <w:pPr>
        <w:pStyle w:val="Akapitzlist"/>
        <w:tabs>
          <w:tab w:val="left" w:pos="2835"/>
        </w:tabs>
        <w:spacing w:line="240" w:lineRule="auto"/>
        <w:ind w:right="360"/>
        <w:jc w:val="both"/>
        <w:rPr>
          <w:rFonts w:ascii="Calibri" w:hAnsi="Calibri" w:cs="Tahoma"/>
          <w:b/>
          <w:color w:val="auto"/>
          <w:sz w:val="22"/>
        </w:rPr>
      </w:pPr>
      <w:r w:rsidRPr="00375035">
        <w:rPr>
          <w:rFonts w:ascii="Calibri" w:hAnsi="Calibri" w:cs="Tahoma"/>
          <w:b/>
          <w:color w:val="auto"/>
          <w:sz w:val="22"/>
        </w:rPr>
        <w:t>Zamawiający nie może określić dokładnej liczby osób</w:t>
      </w:r>
      <w:r w:rsidR="00375035" w:rsidRPr="00375035">
        <w:rPr>
          <w:rFonts w:ascii="Calibri" w:hAnsi="Calibri" w:cs="Tahoma"/>
          <w:b/>
          <w:color w:val="auto"/>
          <w:sz w:val="22"/>
        </w:rPr>
        <w:t xml:space="preserve"> wykonujących obowiązki na podstawie umów cywilno-prawnych</w:t>
      </w:r>
      <w:r w:rsidRPr="00375035">
        <w:rPr>
          <w:rFonts w:ascii="Calibri" w:hAnsi="Calibri" w:cs="Tahoma"/>
          <w:b/>
          <w:color w:val="auto"/>
          <w:sz w:val="22"/>
        </w:rPr>
        <w:t xml:space="preserve"> chociażby ze względu na specyfikę produkcji filmowej.</w:t>
      </w:r>
    </w:p>
    <w:p w:rsidR="00152096" w:rsidRPr="00375035" w:rsidRDefault="007F422A">
      <w:pPr>
        <w:pStyle w:val="Akapitzlist"/>
        <w:tabs>
          <w:tab w:val="left" w:pos="2835"/>
        </w:tabs>
        <w:spacing w:line="240" w:lineRule="auto"/>
        <w:ind w:right="360"/>
        <w:jc w:val="both"/>
        <w:rPr>
          <w:rFonts w:ascii="Cambria" w:hAnsi="Cambria"/>
          <w:b/>
          <w:color w:val="auto"/>
        </w:rPr>
      </w:pPr>
      <w:r w:rsidRPr="00375035">
        <w:rPr>
          <w:rFonts w:ascii="Calibri" w:hAnsi="Calibri" w:cs="Tahoma"/>
          <w:b/>
          <w:color w:val="auto"/>
          <w:sz w:val="22"/>
        </w:rPr>
        <w:t>Zgodnie z załącznikiem 3 – Szczegółowy opis zamówienia – Zamawiający przypomina definicję :</w:t>
      </w:r>
    </w:p>
    <w:p w:rsidR="00152096" w:rsidRPr="00375035" w:rsidRDefault="007F422A">
      <w:pPr>
        <w:spacing w:after="0" w:line="240" w:lineRule="auto"/>
        <w:ind w:firstLine="709"/>
        <w:contextualSpacing/>
        <w:rPr>
          <w:b/>
          <w:lang w:val="pl-PL"/>
        </w:rPr>
      </w:pPr>
      <w:r w:rsidRPr="00375035">
        <w:rPr>
          <w:b/>
          <w:lang w:val="pl-PL"/>
        </w:rPr>
        <w:t xml:space="preserve">Pracownikami Zamawiającego są :             </w:t>
      </w:r>
    </w:p>
    <w:p w:rsidR="00152096" w:rsidRPr="00375035" w:rsidRDefault="007F422A">
      <w:pPr>
        <w:spacing w:after="0" w:line="240" w:lineRule="auto"/>
        <w:ind w:firstLine="709"/>
        <w:contextualSpacing/>
        <w:rPr>
          <w:b/>
          <w:lang w:val="pl-PL"/>
        </w:rPr>
      </w:pPr>
      <w:r w:rsidRPr="00375035">
        <w:rPr>
          <w:b/>
          <w:lang w:val="pl-PL"/>
        </w:rPr>
        <w:t xml:space="preserve">- pracownicy Zamawiającego   </w:t>
      </w:r>
    </w:p>
    <w:p w:rsidR="00152096" w:rsidRPr="00375035" w:rsidRDefault="007F422A">
      <w:pPr>
        <w:spacing w:after="0" w:line="240" w:lineRule="auto"/>
        <w:ind w:firstLine="709"/>
        <w:contextualSpacing/>
        <w:rPr>
          <w:b/>
          <w:lang w:val="pl-PL"/>
        </w:rPr>
      </w:pPr>
      <w:r w:rsidRPr="00375035">
        <w:rPr>
          <w:b/>
          <w:lang w:val="pl-PL"/>
        </w:rPr>
        <w:t xml:space="preserve">- osoby wykonujące obowiązki na podstawie umów cywilno-prawnych               </w:t>
      </w:r>
    </w:p>
    <w:p w:rsidR="00152096" w:rsidRPr="00375035" w:rsidRDefault="007F422A">
      <w:pPr>
        <w:spacing w:after="0" w:line="240" w:lineRule="auto"/>
        <w:ind w:firstLine="709"/>
        <w:contextualSpacing/>
        <w:rPr>
          <w:b/>
          <w:lang w:val="pl-PL"/>
        </w:rPr>
      </w:pPr>
      <w:r w:rsidRPr="00375035">
        <w:rPr>
          <w:b/>
          <w:lang w:val="pl-PL"/>
        </w:rPr>
        <w:t>- studenci i słuchacze</w:t>
      </w:r>
    </w:p>
    <w:p w:rsidR="00152096" w:rsidRPr="00375035" w:rsidRDefault="007F422A">
      <w:pPr>
        <w:pStyle w:val="Akapitzlist"/>
        <w:tabs>
          <w:tab w:val="left" w:pos="2835"/>
        </w:tabs>
        <w:spacing w:line="240" w:lineRule="auto"/>
        <w:ind w:right="360"/>
        <w:jc w:val="both"/>
        <w:rPr>
          <w:rFonts w:ascii="Calibri" w:hAnsi="Calibri" w:cs="Tahoma"/>
          <w:b/>
          <w:color w:val="auto"/>
          <w:sz w:val="22"/>
        </w:rPr>
      </w:pPr>
      <w:r w:rsidRPr="00375035">
        <w:rPr>
          <w:rFonts w:ascii="Calibri" w:hAnsi="Calibri" w:cs="Tahoma"/>
          <w:b/>
          <w:color w:val="auto"/>
          <w:sz w:val="22"/>
        </w:rPr>
        <w:t xml:space="preserve">Wysokość obrotu za ostatni zamknięty </w:t>
      </w:r>
      <w:r w:rsidR="00375035">
        <w:rPr>
          <w:rFonts w:ascii="Calibri" w:hAnsi="Calibri" w:cs="Tahoma"/>
          <w:b/>
          <w:color w:val="auto"/>
          <w:sz w:val="22"/>
        </w:rPr>
        <w:t xml:space="preserve">okres obrachunkowy </w:t>
      </w:r>
      <w:r w:rsidR="00603A6A">
        <w:rPr>
          <w:rFonts w:ascii="Calibri" w:hAnsi="Calibri" w:cs="Tahoma"/>
          <w:b/>
          <w:color w:val="auto"/>
          <w:sz w:val="22"/>
        </w:rPr>
        <w:t>38 106 876,66</w:t>
      </w:r>
      <w:bookmarkStart w:id="0" w:name="_GoBack"/>
      <w:bookmarkEnd w:id="0"/>
    </w:p>
    <w:p w:rsidR="00152096" w:rsidRDefault="00152096">
      <w:pPr>
        <w:pStyle w:val="Akapitzlist"/>
        <w:tabs>
          <w:tab w:val="left" w:pos="1020"/>
        </w:tabs>
        <w:spacing w:before="120" w:line="276" w:lineRule="auto"/>
        <w:ind w:right="284"/>
        <w:jc w:val="both"/>
        <w:rPr>
          <w:rFonts w:ascii="Calibri" w:eastAsia="Times New Roman" w:hAnsi="Calibri" w:cs="Tahoma"/>
          <w:color w:val="000000"/>
          <w:spacing w:val="0"/>
          <w:sz w:val="22"/>
        </w:rPr>
      </w:pPr>
    </w:p>
    <w:p w:rsidR="00375035" w:rsidRDefault="00375035">
      <w:pPr>
        <w:pStyle w:val="Akapitzlist"/>
        <w:tabs>
          <w:tab w:val="left" w:pos="1020"/>
        </w:tabs>
        <w:spacing w:before="120" w:line="276" w:lineRule="auto"/>
        <w:ind w:right="284"/>
        <w:jc w:val="both"/>
        <w:rPr>
          <w:rFonts w:ascii="Calibri" w:eastAsia="Times New Roman" w:hAnsi="Calibri" w:cs="Tahoma"/>
          <w:color w:val="000000"/>
          <w:spacing w:val="0"/>
          <w:sz w:val="22"/>
        </w:rPr>
      </w:pPr>
    </w:p>
    <w:p w:rsidR="00375035" w:rsidRDefault="00375035">
      <w:pPr>
        <w:pStyle w:val="Akapitzlist"/>
        <w:tabs>
          <w:tab w:val="left" w:pos="1020"/>
        </w:tabs>
        <w:spacing w:before="120" w:line="276" w:lineRule="auto"/>
        <w:ind w:right="284"/>
        <w:jc w:val="both"/>
        <w:rPr>
          <w:rFonts w:ascii="Calibri" w:eastAsia="Times New Roman" w:hAnsi="Calibri" w:cs="Tahoma"/>
          <w:color w:val="000000"/>
          <w:spacing w:val="0"/>
          <w:sz w:val="22"/>
        </w:rPr>
      </w:pPr>
    </w:p>
    <w:p w:rsidR="0024131B" w:rsidRDefault="0024131B">
      <w:pPr>
        <w:numPr>
          <w:ilvl w:val="0"/>
          <w:numId w:val="1"/>
        </w:numPr>
        <w:spacing w:after="0" w:line="240" w:lineRule="auto"/>
        <w:ind w:left="720" w:hanging="360"/>
        <w:jc w:val="both"/>
        <w:rPr>
          <w:rFonts w:cs="Tahoma"/>
          <w:szCs w:val="18"/>
          <w:lang w:val="pl-PL"/>
        </w:rPr>
      </w:pPr>
      <w:r>
        <w:rPr>
          <w:rFonts w:cs="Tahoma"/>
          <w:szCs w:val="18"/>
          <w:lang w:val="pl-PL"/>
        </w:rPr>
        <w:t>Zwracamy się z prośba o przesunięcie terminu składania ofert do  16.12.2015 r.</w:t>
      </w:r>
    </w:p>
    <w:p w:rsidR="0024131B" w:rsidRDefault="0024131B" w:rsidP="0024131B">
      <w:pPr>
        <w:spacing w:after="0" w:line="240" w:lineRule="auto"/>
        <w:ind w:left="720"/>
        <w:jc w:val="both"/>
        <w:rPr>
          <w:rFonts w:cs="Tahoma"/>
          <w:szCs w:val="18"/>
          <w:lang w:val="pl-PL"/>
        </w:rPr>
      </w:pPr>
    </w:p>
    <w:p w:rsidR="0024131B" w:rsidRPr="0024131B" w:rsidRDefault="0024131B" w:rsidP="0024131B">
      <w:pPr>
        <w:spacing w:after="0" w:line="240" w:lineRule="auto"/>
        <w:ind w:left="720"/>
        <w:jc w:val="both"/>
        <w:rPr>
          <w:rFonts w:cs="Tahoma"/>
          <w:b/>
          <w:szCs w:val="18"/>
          <w:u w:val="single"/>
          <w:lang w:val="pl-PL"/>
        </w:rPr>
      </w:pPr>
      <w:r w:rsidRPr="0024131B">
        <w:rPr>
          <w:rFonts w:cs="Tahoma"/>
          <w:b/>
          <w:szCs w:val="18"/>
          <w:u w:val="single"/>
          <w:lang w:val="pl-PL"/>
        </w:rPr>
        <w:t>Odpowiedź:</w:t>
      </w:r>
    </w:p>
    <w:p w:rsidR="0024131B" w:rsidRPr="0024131B" w:rsidRDefault="0024131B" w:rsidP="0024131B">
      <w:pPr>
        <w:spacing w:after="0" w:line="240" w:lineRule="auto"/>
        <w:ind w:left="720"/>
        <w:jc w:val="both"/>
        <w:rPr>
          <w:rFonts w:cs="Tahoma"/>
          <w:b/>
          <w:szCs w:val="18"/>
          <w:lang w:val="pl-PL"/>
        </w:rPr>
      </w:pPr>
      <w:r>
        <w:rPr>
          <w:rFonts w:cs="Tahoma"/>
          <w:b/>
          <w:szCs w:val="18"/>
          <w:lang w:val="pl-PL"/>
        </w:rPr>
        <w:t xml:space="preserve">Zamawiający przesuwa termin składania ofert do 16.12.2015r. </w:t>
      </w:r>
    </w:p>
    <w:p w:rsidR="0024131B" w:rsidRDefault="0024131B" w:rsidP="0024131B">
      <w:pPr>
        <w:spacing w:after="0" w:line="240" w:lineRule="auto"/>
        <w:ind w:left="720"/>
        <w:jc w:val="both"/>
        <w:rPr>
          <w:rFonts w:cs="Tahoma"/>
          <w:szCs w:val="18"/>
          <w:lang w:val="pl-PL"/>
        </w:rPr>
      </w:pPr>
    </w:p>
    <w:p w:rsidR="00B0069C" w:rsidRDefault="00B0069C">
      <w:pPr>
        <w:numPr>
          <w:ilvl w:val="0"/>
          <w:numId w:val="1"/>
        </w:numPr>
        <w:spacing w:after="0" w:line="240" w:lineRule="auto"/>
        <w:ind w:left="720" w:hanging="360"/>
        <w:jc w:val="both"/>
        <w:rPr>
          <w:rFonts w:cs="Tahoma"/>
          <w:szCs w:val="18"/>
          <w:lang w:val="pl-PL"/>
        </w:rPr>
      </w:pPr>
      <w:r>
        <w:rPr>
          <w:rFonts w:cs="Tahoma"/>
          <w:szCs w:val="18"/>
          <w:lang w:val="pl-PL"/>
        </w:rPr>
        <w:t>Czy Zamawiający dopuszcza możliwość przeprowadzenia lustracji ryzyka (wizji lokalnej) przed złożeniem oferty wiążącej się z udostępnieniem stosownej dokumentacji.</w:t>
      </w:r>
    </w:p>
    <w:p w:rsidR="00B0069C" w:rsidRDefault="00B0069C" w:rsidP="00B0069C">
      <w:pPr>
        <w:spacing w:after="0" w:line="240" w:lineRule="auto"/>
        <w:ind w:left="720"/>
        <w:jc w:val="both"/>
        <w:rPr>
          <w:rFonts w:cs="Tahoma"/>
          <w:szCs w:val="18"/>
          <w:lang w:val="pl-PL"/>
        </w:rPr>
      </w:pPr>
    </w:p>
    <w:p w:rsidR="00B0069C" w:rsidRDefault="00B0069C" w:rsidP="00B0069C">
      <w:pPr>
        <w:spacing w:after="0" w:line="240" w:lineRule="auto"/>
        <w:ind w:left="720"/>
        <w:jc w:val="both"/>
        <w:rPr>
          <w:rFonts w:cs="Tahoma"/>
          <w:b/>
          <w:szCs w:val="18"/>
          <w:u w:val="single"/>
          <w:lang w:val="pl-PL"/>
        </w:rPr>
      </w:pPr>
      <w:r w:rsidRPr="00B0069C">
        <w:rPr>
          <w:rFonts w:cs="Tahoma"/>
          <w:b/>
          <w:szCs w:val="18"/>
          <w:u w:val="single"/>
          <w:lang w:val="pl-PL"/>
        </w:rPr>
        <w:t>Odpowiedź:</w:t>
      </w:r>
    </w:p>
    <w:p w:rsidR="00B0069C" w:rsidRPr="00B0069C" w:rsidRDefault="00B0069C" w:rsidP="00B0069C">
      <w:pPr>
        <w:spacing w:after="0" w:line="240" w:lineRule="auto"/>
        <w:ind w:left="720"/>
        <w:rPr>
          <w:rFonts w:cs="Tahoma"/>
          <w:b/>
          <w:sz w:val="28"/>
          <w:szCs w:val="18"/>
          <w:lang w:val="pl-PL"/>
        </w:rPr>
      </w:pPr>
      <w:proofErr w:type="spellStart"/>
      <w:r w:rsidRPr="00B0069C">
        <w:rPr>
          <w:b/>
          <w:color w:val="252525"/>
          <w:szCs w:val="18"/>
          <w:shd w:val="clear" w:color="auto" w:fill="FFFFFF"/>
        </w:rPr>
        <w:t>Zamawiający</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dopuszcza</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możliwość</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przeprowadzenia</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lustracji</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po</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uprzednim</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powiadomieniu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i</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ustaleniu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terminu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odpowiadającego</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Zamawiającemu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i</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Wykonawcy</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oraz</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przedstawieniu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listy</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dokumentów</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które</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mają</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być</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udostępnione</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Wykonawcy</w:t>
      </w:r>
      <w:proofErr w:type="spellEnd"/>
      <w:r w:rsidRPr="00B0069C">
        <w:rPr>
          <w:b/>
          <w:color w:val="252525"/>
          <w:szCs w:val="18"/>
          <w:shd w:val="clear" w:color="auto" w:fill="FFFFFF"/>
        </w:rPr>
        <w:t>.</w:t>
      </w:r>
      <w:r w:rsidRPr="00B0069C">
        <w:rPr>
          <w:b/>
          <w:color w:val="252525"/>
          <w:szCs w:val="18"/>
        </w:rPr>
        <w:br/>
      </w:r>
      <w:proofErr w:type="spellStart"/>
      <w:r w:rsidRPr="00B0069C">
        <w:rPr>
          <w:b/>
          <w:color w:val="252525"/>
          <w:szCs w:val="18"/>
          <w:shd w:val="clear" w:color="auto" w:fill="FFFFFF"/>
        </w:rPr>
        <w:t>Zamawiający</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udostępni</w:t>
      </w:r>
      <w:proofErr w:type="spellEnd"/>
      <w:r w:rsidRPr="00B0069C">
        <w:rPr>
          <w:b/>
          <w:color w:val="252525"/>
          <w:szCs w:val="18"/>
          <w:shd w:val="clear" w:color="auto" w:fill="FFFFFF"/>
        </w:rPr>
        <w:t xml:space="preserve"> do </w:t>
      </w:r>
      <w:proofErr w:type="spellStart"/>
      <w:r w:rsidRPr="00B0069C">
        <w:rPr>
          <w:b/>
          <w:color w:val="252525"/>
          <w:szCs w:val="18"/>
          <w:shd w:val="clear" w:color="auto" w:fill="FFFFFF"/>
        </w:rPr>
        <w:t>wglądu</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stosowną</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dokumentację</w:t>
      </w:r>
      <w:proofErr w:type="spellEnd"/>
      <w:r w:rsidRPr="00B0069C">
        <w:rPr>
          <w:b/>
          <w:color w:val="252525"/>
          <w:szCs w:val="18"/>
          <w:shd w:val="clear" w:color="auto" w:fill="FFFFFF"/>
        </w:rPr>
        <w:t xml:space="preserve"> z </w:t>
      </w:r>
      <w:proofErr w:type="spellStart"/>
      <w:r w:rsidRPr="00B0069C">
        <w:rPr>
          <w:b/>
          <w:color w:val="252525"/>
          <w:szCs w:val="18"/>
          <w:shd w:val="clear" w:color="auto" w:fill="FFFFFF"/>
        </w:rPr>
        <w:t>wyłączeniem</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dokumentów</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chroniących</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dane</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osobowe</w:t>
      </w:r>
      <w:proofErr w:type="spellEnd"/>
      <w:r w:rsidRPr="00B0069C">
        <w:rPr>
          <w:b/>
          <w:color w:val="252525"/>
          <w:szCs w:val="18"/>
          <w:shd w:val="clear" w:color="auto" w:fill="FFFFFF"/>
        </w:rPr>
        <w:t xml:space="preserve"> pod </w:t>
      </w:r>
      <w:proofErr w:type="spellStart"/>
      <w:r w:rsidRPr="00B0069C">
        <w:rPr>
          <w:b/>
          <w:color w:val="252525"/>
          <w:szCs w:val="18"/>
          <w:shd w:val="clear" w:color="auto" w:fill="FFFFFF"/>
        </w:rPr>
        <w:t>warunkiem</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zachowania</w:t>
      </w:r>
      <w:proofErr w:type="spellEnd"/>
      <w:r w:rsidRPr="00B0069C">
        <w:rPr>
          <w:b/>
          <w:color w:val="252525"/>
          <w:szCs w:val="18"/>
          <w:shd w:val="clear" w:color="auto" w:fill="FFFFFF"/>
        </w:rPr>
        <w:t xml:space="preserve"> w </w:t>
      </w:r>
      <w:proofErr w:type="spellStart"/>
      <w:r w:rsidRPr="00B0069C">
        <w:rPr>
          <w:b/>
          <w:color w:val="252525"/>
          <w:szCs w:val="18"/>
          <w:shd w:val="clear" w:color="auto" w:fill="FFFFFF"/>
        </w:rPr>
        <w:t>ścisłej</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tajemnicy</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wszelkich</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informacji</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uzyskanych</w:t>
      </w:r>
      <w:proofErr w:type="spellEnd"/>
      <w:r w:rsidRPr="00B0069C">
        <w:rPr>
          <w:b/>
          <w:color w:val="252525"/>
          <w:szCs w:val="18"/>
          <w:shd w:val="clear" w:color="auto" w:fill="FFFFFF"/>
        </w:rPr>
        <w:t xml:space="preserve"> w </w:t>
      </w:r>
      <w:proofErr w:type="spellStart"/>
      <w:r w:rsidRPr="00B0069C">
        <w:rPr>
          <w:b/>
          <w:color w:val="252525"/>
          <w:szCs w:val="18"/>
          <w:shd w:val="clear" w:color="auto" w:fill="FFFFFF"/>
        </w:rPr>
        <w:t>trakcie</w:t>
      </w:r>
      <w:proofErr w:type="spellEnd"/>
      <w:r w:rsidRPr="00B0069C">
        <w:rPr>
          <w:b/>
          <w:color w:val="252525"/>
          <w:szCs w:val="18"/>
          <w:shd w:val="clear" w:color="auto" w:fill="FFFFFF"/>
        </w:rPr>
        <w:t xml:space="preserve"> </w:t>
      </w:r>
      <w:proofErr w:type="spellStart"/>
      <w:r w:rsidRPr="00B0069C">
        <w:rPr>
          <w:b/>
          <w:color w:val="252525"/>
          <w:szCs w:val="18"/>
          <w:shd w:val="clear" w:color="auto" w:fill="FFFFFF"/>
        </w:rPr>
        <w:t>lustracji</w:t>
      </w:r>
      <w:proofErr w:type="spellEnd"/>
      <w:r w:rsidRPr="00B0069C">
        <w:rPr>
          <w:b/>
          <w:color w:val="252525"/>
          <w:szCs w:val="18"/>
          <w:shd w:val="clear" w:color="auto" w:fill="FFFFFF"/>
        </w:rPr>
        <w:t>.</w:t>
      </w:r>
      <w:r w:rsidRPr="00B0069C">
        <w:rPr>
          <w:rStyle w:val="apple-converted-space"/>
          <w:b/>
          <w:color w:val="252525"/>
          <w:szCs w:val="18"/>
          <w:shd w:val="clear" w:color="auto" w:fill="FFFFFF"/>
        </w:rPr>
        <w:t> </w:t>
      </w:r>
    </w:p>
    <w:p w:rsidR="00B0069C" w:rsidRDefault="00B0069C" w:rsidP="00B0069C">
      <w:pPr>
        <w:spacing w:after="0" w:line="240" w:lineRule="auto"/>
        <w:ind w:left="720"/>
        <w:jc w:val="both"/>
        <w:rPr>
          <w:rFonts w:cs="Tahoma"/>
          <w:szCs w:val="18"/>
          <w:lang w:val="pl-PL"/>
        </w:rPr>
      </w:pPr>
    </w:p>
    <w:p w:rsidR="00B0069C" w:rsidRDefault="00B0069C" w:rsidP="00B0069C">
      <w:pPr>
        <w:spacing w:after="0" w:line="240" w:lineRule="auto"/>
        <w:ind w:left="720"/>
        <w:jc w:val="both"/>
        <w:rPr>
          <w:rFonts w:cs="Tahoma"/>
          <w:szCs w:val="18"/>
          <w:lang w:val="pl-PL"/>
        </w:rPr>
      </w:pPr>
    </w:p>
    <w:p w:rsidR="00B0069C" w:rsidRDefault="00B0069C">
      <w:pPr>
        <w:numPr>
          <w:ilvl w:val="0"/>
          <w:numId w:val="1"/>
        </w:numPr>
        <w:spacing w:after="0" w:line="240" w:lineRule="auto"/>
        <w:ind w:left="720" w:hanging="360"/>
        <w:jc w:val="both"/>
        <w:rPr>
          <w:rFonts w:cs="Tahoma"/>
          <w:szCs w:val="18"/>
          <w:lang w:val="pl-PL"/>
        </w:rPr>
      </w:pPr>
      <w:r>
        <w:rPr>
          <w:rFonts w:cs="Tahoma"/>
          <w:szCs w:val="18"/>
          <w:lang w:val="pl-PL"/>
        </w:rPr>
        <w:t>W odniesieniu do ubezpieczenia sprzętu elektronicznego na planach filmowych czy Zamawiający dopuszcza wprowadzenie poniższych zapisów:</w:t>
      </w:r>
    </w:p>
    <w:p w:rsidR="00B0069C" w:rsidRDefault="00624AD8" w:rsidP="00B0069C">
      <w:pPr>
        <w:spacing w:after="0" w:line="240" w:lineRule="auto"/>
        <w:ind w:left="720"/>
        <w:jc w:val="both"/>
        <w:rPr>
          <w:rFonts w:cs="Tahoma"/>
          <w:szCs w:val="18"/>
          <w:lang w:val="pl-PL"/>
        </w:rPr>
      </w:pPr>
      <w:r>
        <w:rPr>
          <w:rFonts w:cs="Tahoma"/>
          <w:szCs w:val="18"/>
          <w:lang w:val="pl-PL"/>
        </w:rPr>
        <w:t>Przedmiot ubezpieczenia:</w:t>
      </w:r>
    </w:p>
    <w:p w:rsidR="00624AD8" w:rsidRDefault="00624AD8" w:rsidP="00B0069C">
      <w:pPr>
        <w:spacing w:after="0" w:line="240" w:lineRule="auto"/>
        <w:ind w:left="720"/>
        <w:jc w:val="both"/>
        <w:rPr>
          <w:rFonts w:cs="Tahoma"/>
          <w:szCs w:val="18"/>
          <w:lang w:val="pl-PL"/>
        </w:rPr>
      </w:pPr>
      <w:r>
        <w:rPr>
          <w:rFonts w:cs="Tahoma"/>
          <w:szCs w:val="18"/>
          <w:lang w:val="pl-PL"/>
        </w:rPr>
        <w:t>Przedmiotem ubezpieczenia będzie sprzęt stanowiący własność Ubezpieczającego oraz sprzęt wypożyczony, użyczony, Ubezpieczającemu, używany przez studentów Szkoły na planach filmowych.</w:t>
      </w:r>
    </w:p>
    <w:p w:rsidR="00624AD8" w:rsidRDefault="00624AD8" w:rsidP="00B0069C">
      <w:pPr>
        <w:spacing w:after="0" w:line="240" w:lineRule="auto"/>
        <w:ind w:left="720"/>
        <w:jc w:val="both"/>
        <w:rPr>
          <w:rFonts w:cs="Tahoma"/>
          <w:szCs w:val="18"/>
          <w:lang w:val="pl-PL"/>
        </w:rPr>
      </w:pPr>
      <w:r>
        <w:rPr>
          <w:rFonts w:cs="Tahoma"/>
          <w:szCs w:val="18"/>
          <w:lang w:val="pl-PL"/>
        </w:rPr>
        <w:t>Zakres ubezpieczenia :</w:t>
      </w:r>
    </w:p>
    <w:p w:rsidR="00624AD8" w:rsidRPr="00D45995" w:rsidRDefault="00624AD8" w:rsidP="00D45995">
      <w:pPr>
        <w:pStyle w:val="Akapitzlist"/>
        <w:numPr>
          <w:ilvl w:val="3"/>
          <w:numId w:val="1"/>
        </w:numPr>
        <w:spacing w:line="240" w:lineRule="auto"/>
        <w:ind w:left="1134"/>
        <w:jc w:val="both"/>
        <w:rPr>
          <w:rFonts w:ascii="Calibri" w:hAnsi="Calibri" w:cs="Tahoma"/>
          <w:sz w:val="22"/>
          <w:szCs w:val="18"/>
        </w:rPr>
      </w:pPr>
      <w:r w:rsidRPr="00D45995">
        <w:rPr>
          <w:rFonts w:ascii="Calibri" w:hAnsi="Calibri" w:cs="Tahoma"/>
          <w:sz w:val="22"/>
          <w:szCs w:val="18"/>
        </w:rPr>
        <w:t>Umową ubezpieczenia objęty będzie sprzęt na planie filmowym oraz podczas transportu na i z planu filmowego, jeżeli znajdować się będzie:</w:t>
      </w:r>
    </w:p>
    <w:p w:rsidR="00624AD8" w:rsidRPr="00D45995" w:rsidRDefault="00624AD8" w:rsidP="00D45995">
      <w:pPr>
        <w:pStyle w:val="Akapitzlist"/>
        <w:spacing w:line="240" w:lineRule="auto"/>
        <w:ind w:left="1416"/>
        <w:jc w:val="both"/>
        <w:rPr>
          <w:rFonts w:ascii="Calibri" w:hAnsi="Calibri" w:cs="Tahoma"/>
          <w:sz w:val="22"/>
          <w:szCs w:val="18"/>
        </w:rPr>
      </w:pPr>
      <w:r w:rsidRPr="00D45995">
        <w:rPr>
          <w:rFonts w:ascii="Calibri" w:hAnsi="Calibri" w:cs="Tahoma"/>
          <w:sz w:val="22"/>
          <w:szCs w:val="18"/>
        </w:rPr>
        <w:t>- pod opieką ubezpieczającego</w:t>
      </w:r>
    </w:p>
    <w:p w:rsidR="00624AD8" w:rsidRPr="00D45995" w:rsidRDefault="00624AD8" w:rsidP="00D45995">
      <w:pPr>
        <w:pStyle w:val="Akapitzlist"/>
        <w:spacing w:line="240" w:lineRule="auto"/>
        <w:ind w:left="1416"/>
        <w:jc w:val="both"/>
        <w:rPr>
          <w:rFonts w:ascii="Calibri" w:hAnsi="Calibri" w:cs="Tahoma"/>
          <w:sz w:val="22"/>
          <w:szCs w:val="18"/>
        </w:rPr>
      </w:pPr>
      <w:r w:rsidRPr="00D45995">
        <w:rPr>
          <w:rFonts w:ascii="Calibri" w:hAnsi="Calibri" w:cs="Tahoma"/>
          <w:sz w:val="22"/>
          <w:szCs w:val="18"/>
        </w:rPr>
        <w:t>- w zamkniętym pomieszczeniu w miejscu zakwaterowania – podczas użytkowania tego pomieszczenia przez ubezpieczającego,</w:t>
      </w:r>
    </w:p>
    <w:p w:rsidR="00624AD8" w:rsidRPr="00D45995" w:rsidRDefault="00624AD8" w:rsidP="00D45995">
      <w:pPr>
        <w:pStyle w:val="Akapitzlist"/>
        <w:spacing w:line="240" w:lineRule="auto"/>
        <w:ind w:left="1416"/>
        <w:jc w:val="both"/>
        <w:rPr>
          <w:rFonts w:ascii="Calibri" w:hAnsi="Calibri" w:cs="Tahoma"/>
          <w:sz w:val="22"/>
          <w:szCs w:val="18"/>
        </w:rPr>
      </w:pPr>
      <w:r w:rsidRPr="00D45995">
        <w:rPr>
          <w:rFonts w:ascii="Calibri" w:hAnsi="Calibri" w:cs="Tahoma"/>
          <w:sz w:val="22"/>
          <w:szCs w:val="18"/>
        </w:rPr>
        <w:t>- w pojeździe samochodowym lub przyczepie do środka komunikacji z włączeniem ryzyka kradzieży z włamaniem</w:t>
      </w:r>
    </w:p>
    <w:p w:rsidR="00624AD8" w:rsidRDefault="00624AD8" w:rsidP="00D45995">
      <w:pPr>
        <w:spacing w:line="240" w:lineRule="auto"/>
        <w:ind w:left="1134"/>
        <w:contextualSpacing/>
        <w:jc w:val="both"/>
        <w:rPr>
          <w:rFonts w:cs="Tahoma"/>
          <w:szCs w:val="18"/>
        </w:rPr>
      </w:pPr>
      <w:r>
        <w:rPr>
          <w:rFonts w:cs="Tahoma"/>
          <w:szCs w:val="18"/>
        </w:rPr>
        <w:t xml:space="preserve">2. </w:t>
      </w:r>
      <w:proofErr w:type="spellStart"/>
      <w:r>
        <w:rPr>
          <w:rFonts w:cs="Tahoma"/>
          <w:szCs w:val="18"/>
        </w:rPr>
        <w:t>Ubezpieczeniem</w:t>
      </w:r>
      <w:proofErr w:type="spellEnd"/>
      <w:r>
        <w:rPr>
          <w:rFonts w:cs="Tahoma"/>
          <w:szCs w:val="18"/>
        </w:rPr>
        <w:t xml:space="preserve"> </w:t>
      </w:r>
      <w:proofErr w:type="spellStart"/>
      <w:r>
        <w:rPr>
          <w:rFonts w:cs="Tahoma"/>
          <w:szCs w:val="18"/>
        </w:rPr>
        <w:t>objęty</w:t>
      </w:r>
      <w:proofErr w:type="spellEnd"/>
      <w:r>
        <w:rPr>
          <w:rFonts w:cs="Tahoma"/>
          <w:szCs w:val="18"/>
        </w:rPr>
        <w:t xml:space="preserve"> </w:t>
      </w:r>
      <w:proofErr w:type="spellStart"/>
      <w:r>
        <w:rPr>
          <w:rFonts w:cs="Tahoma"/>
          <w:szCs w:val="18"/>
        </w:rPr>
        <w:t>będzie</w:t>
      </w:r>
      <w:proofErr w:type="spellEnd"/>
      <w:r>
        <w:rPr>
          <w:rFonts w:cs="Tahoma"/>
          <w:szCs w:val="18"/>
        </w:rPr>
        <w:t xml:space="preserve"> </w:t>
      </w:r>
      <w:proofErr w:type="spellStart"/>
      <w:r>
        <w:rPr>
          <w:rFonts w:cs="Tahoma"/>
          <w:szCs w:val="18"/>
        </w:rPr>
        <w:t>sprzęt</w:t>
      </w:r>
      <w:proofErr w:type="spellEnd"/>
      <w:r>
        <w:rPr>
          <w:rFonts w:cs="Tahoma"/>
          <w:szCs w:val="18"/>
        </w:rPr>
        <w:t xml:space="preserve"> </w:t>
      </w:r>
      <w:proofErr w:type="spellStart"/>
      <w:r>
        <w:rPr>
          <w:rFonts w:cs="Tahoma"/>
          <w:szCs w:val="18"/>
        </w:rPr>
        <w:t>na</w:t>
      </w:r>
      <w:proofErr w:type="spellEnd"/>
      <w:r>
        <w:rPr>
          <w:rFonts w:cs="Tahoma"/>
          <w:szCs w:val="18"/>
        </w:rPr>
        <w:t xml:space="preserve"> </w:t>
      </w:r>
      <w:proofErr w:type="spellStart"/>
      <w:r>
        <w:rPr>
          <w:rFonts w:cs="Tahoma"/>
          <w:szCs w:val="18"/>
        </w:rPr>
        <w:t>planie</w:t>
      </w:r>
      <w:proofErr w:type="spellEnd"/>
      <w:r>
        <w:rPr>
          <w:rFonts w:cs="Tahoma"/>
          <w:szCs w:val="18"/>
        </w:rPr>
        <w:t xml:space="preserve"> </w:t>
      </w:r>
      <w:proofErr w:type="spellStart"/>
      <w:r>
        <w:rPr>
          <w:rFonts w:cs="Tahoma"/>
          <w:szCs w:val="18"/>
        </w:rPr>
        <w:t>filmowym</w:t>
      </w:r>
      <w:proofErr w:type="spellEnd"/>
      <w:r>
        <w:rPr>
          <w:rFonts w:cs="Tahoma"/>
          <w:szCs w:val="18"/>
        </w:rPr>
        <w:t xml:space="preserve"> I </w:t>
      </w:r>
      <w:proofErr w:type="spellStart"/>
      <w:r>
        <w:rPr>
          <w:rFonts w:cs="Tahoma"/>
          <w:szCs w:val="18"/>
        </w:rPr>
        <w:t>podczas</w:t>
      </w:r>
      <w:proofErr w:type="spellEnd"/>
      <w:r>
        <w:rPr>
          <w:rFonts w:cs="Tahoma"/>
          <w:szCs w:val="18"/>
        </w:rPr>
        <w:t xml:space="preserve"> transport </w:t>
      </w:r>
      <w:proofErr w:type="spellStart"/>
      <w:r>
        <w:rPr>
          <w:rFonts w:cs="Tahoma"/>
          <w:szCs w:val="18"/>
        </w:rPr>
        <w:t>na</w:t>
      </w:r>
      <w:proofErr w:type="spellEnd"/>
      <w:r>
        <w:rPr>
          <w:rFonts w:cs="Tahoma"/>
          <w:szCs w:val="18"/>
        </w:rPr>
        <w:t xml:space="preserve"> </w:t>
      </w:r>
      <w:proofErr w:type="spellStart"/>
      <w:r>
        <w:rPr>
          <w:rFonts w:cs="Tahoma"/>
          <w:szCs w:val="18"/>
        </w:rPr>
        <w:t>terenie</w:t>
      </w:r>
      <w:proofErr w:type="spellEnd"/>
      <w:r>
        <w:rPr>
          <w:rFonts w:cs="Tahoma"/>
          <w:szCs w:val="18"/>
        </w:rPr>
        <w:t xml:space="preserve"> </w:t>
      </w:r>
      <w:proofErr w:type="spellStart"/>
      <w:r>
        <w:rPr>
          <w:rFonts w:cs="Tahoma"/>
          <w:szCs w:val="18"/>
        </w:rPr>
        <w:t>Europy</w:t>
      </w:r>
      <w:proofErr w:type="spellEnd"/>
    </w:p>
    <w:p w:rsidR="00624AD8" w:rsidRDefault="00624AD8" w:rsidP="00D45995">
      <w:pPr>
        <w:spacing w:line="240" w:lineRule="auto"/>
        <w:ind w:left="1134"/>
        <w:contextualSpacing/>
        <w:jc w:val="both"/>
        <w:rPr>
          <w:rFonts w:cs="Tahoma"/>
          <w:szCs w:val="18"/>
        </w:rPr>
      </w:pPr>
      <w:r>
        <w:rPr>
          <w:rFonts w:cs="Tahoma"/>
          <w:szCs w:val="18"/>
        </w:rPr>
        <w:t xml:space="preserve">3. </w:t>
      </w:r>
      <w:proofErr w:type="spellStart"/>
      <w:r>
        <w:rPr>
          <w:rFonts w:cs="Tahoma"/>
          <w:szCs w:val="18"/>
        </w:rPr>
        <w:t>Zakres</w:t>
      </w:r>
      <w:proofErr w:type="spellEnd"/>
      <w:r>
        <w:rPr>
          <w:rFonts w:cs="Tahoma"/>
          <w:szCs w:val="18"/>
        </w:rPr>
        <w:t xml:space="preserve"> </w:t>
      </w:r>
      <w:proofErr w:type="spellStart"/>
      <w:r>
        <w:rPr>
          <w:rFonts w:cs="Tahoma"/>
          <w:szCs w:val="18"/>
        </w:rPr>
        <w:t>terytorialny</w:t>
      </w:r>
      <w:proofErr w:type="spellEnd"/>
      <w:r>
        <w:rPr>
          <w:rFonts w:cs="Tahoma"/>
          <w:szCs w:val="18"/>
        </w:rPr>
        <w:t xml:space="preserve"> : </w:t>
      </w:r>
      <w:proofErr w:type="spellStart"/>
      <w:r>
        <w:rPr>
          <w:rFonts w:cs="Tahoma"/>
          <w:szCs w:val="18"/>
        </w:rPr>
        <w:t>teren</w:t>
      </w:r>
      <w:proofErr w:type="spellEnd"/>
      <w:r>
        <w:rPr>
          <w:rFonts w:cs="Tahoma"/>
          <w:szCs w:val="18"/>
        </w:rPr>
        <w:t xml:space="preserve"> </w:t>
      </w:r>
      <w:proofErr w:type="spellStart"/>
      <w:r>
        <w:rPr>
          <w:rFonts w:cs="Tahoma"/>
          <w:szCs w:val="18"/>
        </w:rPr>
        <w:t>Europy</w:t>
      </w:r>
      <w:proofErr w:type="spellEnd"/>
    </w:p>
    <w:p w:rsidR="00624AD8" w:rsidRPr="00624AD8" w:rsidRDefault="00624AD8" w:rsidP="00D45995">
      <w:pPr>
        <w:spacing w:line="240" w:lineRule="auto"/>
        <w:ind w:left="1134"/>
        <w:contextualSpacing/>
        <w:jc w:val="both"/>
        <w:rPr>
          <w:rFonts w:cs="Tahoma"/>
          <w:szCs w:val="18"/>
        </w:rPr>
      </w:pPr>
      <w:r>
        <w:rPr>
          <w:rFonts w:cs="Tahoma"/>
          <w:szCs w:val="18"/>
        </w:rPr>
        <w:t xml:space="preserve">4. </w:t>
      </w:r>
      <w:proofErr w:type="spellStart"/>
      <w:r>
        <w:rPr>
          <w:rFonts w:cs="Tahoma"/>
          <w:szCs w:val="18"/>
        </w:rPr>
        <w:t>Umową</w:t>
      </w:r>
      <w:proofErr w:type="spellEnd"/>
      <w:r>
        <w:rPr>
          <w:rFonts w:cs="Tahoma"/>
          <w:szCs w:val="18"/>
        </w:rPr>
        <w:t xml:space="preserve"> </w:t>
      </w:r>
      <w:proofErr w:type="spellStart"/>
      <w:r>
        <w:rPr>
          <w:rFonts w:cs="Tahoma"/>
          <w:szCs w:val="18"/>
        </w:rPr>
        <w:t>ubezpieczenia</w:t>
      </w:r>
      <w:proofErr w:type="spellEnd"/>
      <w:r>
        <w:rPr>
          <w:rFonts w:cs="Tahoma"/>
          <w:szCs w:val="18"/>
        </w:rPr>
        <w:t xml:space="preserve"> </w:t>
      </w:r>
      <w:proofErr w:type="spellStart"/>
      <w:r>
        <w:rPr>
          <w:rFonts w:cs="Tahoma"/>
          <w:szCs w:val="18"/>
        </w:rPr>
        <w:t>objęty</w:t>
      </w:r>
      <w:proofErr w:type="spellEnd"/>
      <w:r>
        <w:rPr>
          <w:rFonts w:cs="Tahoma"/>
          <w:szCs w:val="18"/>
        </w:rPr>
        <w:t xml:space="preserve"> </w:t>
      </w:r>
      <w:proofErr w:type="spellStart"/>
      <w:r>
        <w:rPr>
          <w:rFonts w:cs="Tahoma"/>
          <w:szCs w:val="18"/>
        </w:rPr>
        <w:t>będzie</w:t>
      </w:r>
      <w:proofErr w:type="spellEnd"/>
      <w:r>
        <w:rPr>
          <w:rFonts w:cs="Tahoma"/>
          <w:szCs w:val="18"/>
        </w:rPr>
        <w:t xml:space="preserve"> </w:t>
      </w:r>
      <w:proofErr w:type="spellStart"/>
      <w:r>
        <w:rPr>
          <w:rFonts w:cs="Tahoma"/>
          <w:szCs w:val="18"/>
        </w:rPr>
        <w:t>sprzęt</w:t>
      </w:r>
      <w:proofErr w:type="spellEnd"/>
      <w:r>
        <w:rPr>
          <w:rFonts w:cs="Tahoma"/>
          <w:szCs w:val="18"/>
        </w:rPr>
        <w:t xml:space="preserve"> </w:t>
      </w:r>
      <w:proofErr w:type="spellStart"/>
      <w:r>
        <w:rPr>
          <w:rFonts w:cs="Tahoma"/>
          <w:szCs w:val="18"/>
        </w:rPr>
        <w:t>stanowiący</w:t>
      </w:r>
      <w:proofErr w:type="spellEnd"/>
      <w:r>
        <w:rPr>
          <w:rFonts w:cs="Tahoma"/>
          <w:szCs w:val="18"/>
        </w:rPr>
        <w:t xml:space="preserve"> </w:t>
      </w:r>
      <w:proofErr w:type="spellStart"/>
      <w:r>
        <w:rPr>
          <w:rFonts w:cs="Tahoma"/>
          <w:szCs w:val="18"/>
        </w:rPr>
        <w:t>własność</w:t>
      </w:r>
      <w:proofErr w:type="spellEnd"/>
      <w:r>
        <w:rPr>
          <w:rFonts w:cs="Tahoma"/>
          <w:szCs w:val="18"/>
        </w:rPr>
        <w:t xml:space="preserve"> </w:t>
      </w:r>
      <w:proofErr w:type="spellStart"/>
      <w:r>
        <w:rPr>
          <w:rFonts w:cs="Tahoma"/>
          <w:szCs w:val="18"/>
        </w:rPr>
        <w:t>Ubezpieczającego</w:t>
      </w:r>
      <w:proofErr w:type="spellEnd"/>
      <w:r>
        <w:rPr>
          <w:rFonts w:cs="Tahoma"/>
          <w:szCs w:val="18"/>
        </w:rPr>
        <w:t xml:space="preserve"> </w:t>
      </w:r>
      <w:proofErr w:type="spellStart"/>
      <w:r>
        <w:rPr>
          <w:rFonts w:cs="Tahoma"/>
          <w:szCs w:val="18"/>
        </w:rPr>
        <w:t>jak</w:t>
      </w:r>
      <w:proofErr w:type="spellEnd"/>
      <w:r>
        <w:rPr>
          <w:rFonts w:cs="Tahoma"/>
          <w:szCs w:val="18"/>
        </w:rPr>
        <w:t xml:space="preserve"> I </w:t>
      </w:r>
      <w:proofErr w:type="spellStart"/>
      <w:r>
        <w:rPr>
          <w:rFonts w:cs="Tahoma"/>
          <w:szCs w:val="18"/>
        </w:rPr>
        <w:t>sprzęt</w:t>
      </w:r>
      <w:proofErr w:type="spellEnd"/>
      <w:r>
        <w:rPr>
          <w:rFonts w:cs="Tahoma"/>
          <w:szCs w:val="18"/>
        </w:rPr>
        <w:t xml:space="preserve"> </w:t>
      </w:r>
      <w:proofErr w:type="spellStart"/>
      <w:r>
        <w:rPr>
          <w:rFonts w:cs="Tahoma"/>
          <w:szCs w:val="18"/>
        </w:rPr>
        <w:t>wypożyczony</w:t>
      </w:r>
      <w:proofErr w:type="spellEnd"/>
      <w:r>
        <w:rPr>
          <w:rFonts w:cs="Tahoma"/>
          <w:szCs w:val="18"/>
        </w:rPr>
        <w:t xml:space="preserve">, </w:t>
      </w:r>
      <w:proofErr w:type="spellStart"/>
      <w:r>
        <w:rPr>
          <w:rFonts w:cs="Tahoma"/>
          <w:szCs w:val="18"/>
        </w:rPr>
        <w:t>uzyczony</w:t>
      </w:r>
      <w:proofErr w:type="spellEnd"/>
      <w:r>
        <w:rPr>
          <w:rFonts w:cs="Tahoma"/>
          <w:szCs w:val="18"/>
        </w:rPr>
        <w:t xml:space="preserve"> (</w:t>
      </w:r>
      <w:proofErr w:type="spellStart"/>
      <w:r>
        <w:rPr>
          <w:rFonts w:cs="Tahoma"/>
          <w:szCs w:val="18"/>
        </w:rPr>
        <w:t>przy</w:t>
      </w:r>
      <w:proofErr w:type="spellEnd"/>
      <w:r>
        <w:rPr>
          <w:rFonts w:cs="Tahoma"/>
          <w:szCs w:val="18"/>
        </w:rPr>
        <w:t xml:space="preserve"> </w:t>
      </w:r>
      <w:proofErr w:type="spellStart"/>
      <w:r>
        <w:rPr>
          <w:rFonts w:cs="Tahoma"/>
          <w:szCs w:val="18"/>
        </w:rPr>
        <w:t>czym</w:t>
      </w:r>
      <w:proofErr w:type="spellEnd"/>
      <w:r>
        <w:rPr>
          <w:rFonts w:cs="Tahoma"/>
          <w:szCs w:val="18"/>
        </w:rPr>
        <w:t xml:space="preserve"> </w:t>
      </w:r>
      <w:proofErr w:type="spellStart"/>
      <w:r>
        <w:rPr>
          <w:rFonts w:cs="Tahoma"/>
          <w:szCs w:val="18"/>
        </w:rPr>
        <w:t>fakt</w:t>
      </w:r>
      <w:proofErr w:type="spellEnd"/>
      <w:r>
        <w:rPr>
          <w:rFonts w:cs="Tahoma"/>
          <w:szCs w:val="18"/>
        </w:rPr>
        <w:t xml:space="preserve"> </w:t>
      </w:r>
      <w:proofErr w:type="spellStart"/>
      <w:r>
        <w:rPr>
          <w:rFonts w:cs="Tahoma"/>
          <w:szCs w:val="18"/>
        </w:rPr>
        <w:t>tego</w:t>
      </w:r>
      <w:proofErr w:type="spellEnd"/>
      <w:r>
        <w:rPr>
          <w:rFonts w:cs="Tahoma"/>
          <w:szCs w:val="18"/>
        </w:rPr>
        <w:t xml:space="preserve"> </w:t>
      </w:r>
      <w:proofErr w:type="spellStart"/>
      <w:r>
        <w:rPr>
          <w:rFonts w:cs="Tahoma"/>
          <w:szCs w:val="18"/>
        </w:rPr>
        <w:t>wypożyczenia</w:t>
      </w:r>
      <w:proofErr w:type="spellEnd"/>
      <w:r>
        <w:rPr>
          <w:rFonts w:cs="Tahoma"/>
          <w:szCs w:val="18"/>
        </w:rPr>
        <w:t xml:space="preserve"> </w:t>
      </w:r>
      <w:proofErr w:type="spellStart"/>
      <w:r>
        <w:rPr>
          <w:rFonts w:cs="Tahoma"/>
          <w:szCs w:val="18"/>
        </w:rPr>
        <w:t>musi</w:t>
      </w:r>
      <w:proofErr w:type="spellEnd"/>
      <w:r>
        <w:rPr>
          <w:rFonts w:cs="Tahoma"/>
          <w:szCs w:val="18"/>
        </w:rPr>
        <w:t xml:space="preserve"> </w:t>
      </w:r>
      <w:proofErr w:type="spellStart"/>
      <w:r>
        <w:rPr>
          <w:rFonts w:cs="Tahoma"/>
          <w:szCs w:val="18"/>
        </w:rPr>
        <w:t>być</w:t>
      </w:r>
      <w:proofErr w:type="spellEnd"/>
      <w:r>
        <w:rPr>
          <w:rFonts w:cs="Tahoma"/>
          <w:szCs w:val="18"/>
        </w:rPr>
        <w:t xml:space="preserve"> </w:t>
      </w:r>
      <w:proofErr w:type="spellStart"/>
      <w:r>
        <w:rPr>
          <w:rFonts w:cs="Tahoma"/>
          <w:szCs w:val="18"/>
        </w:rPr>
        <w:t>udokumentowany</w:t>
      </w:r>
      <w:proofErr w:type="spellEnd"/>
      <w:r>
        <w:rPr>
          <w:rFonts w:cs="Tahoma"/>
          <w:szCs w:val="18"/>
        </w:rPr>
        <w:t xml:space="preserve">), </w:t>
      </w:r>
      <w:proofErr w:type="spellStart"/>
      <w:r>
        <w:rPr>
          <w:rFonts w:cs="Tahoma"/>
          <w:szCs w:val="18"/>
        </w:rPr>
        <w:t>przenoszony</w:t>
      </w:r>
      <w:proofErr w:type="spellEnd"/>
      <w:r>
        <w:rPr>
          <w:rFonts w:cs="Tahoma"/>
          <w:szCs w:val="18"/>
        </w:rPr>
        <w:t xml:space="preserve"> </w:t>
      </w:r>
      <w:proofErr w:type="spellStart"/>
      <w:r>
        <w:rPr>
          <w:rFonts w:cs="Tahoma"/>
          <w:szCs w:val="18"/>
        </w:rPr>
        <w:t>lub</w:t>
      </w:r>
      <w:proofErr w:type="spellEnd"/>
      <w:r>
        <w:rPr>
          <w:rFonts w:cs="Tahoma"/>
          <w:szCs w:val="18"/>
        </w:rPr>
        <w:t xml:space="preserve"> </w:t>
      </w:r>
      <w:proofErr w:type="spellStart"/>
      <w:r>
        <w:rPr>
          <w:rFonts w:cs="Tahoma"/>
          <w:szCs w:val="18"/>
        </w:rPr>
        <w:t>przewożony</w:t>
      </w:r>
      <w:proofErr w:type="spellEnd"/>
      <w:r>
        <w:rPr>
          <w:rFonts w:cs="Tahoma"/>
          <w:szCs w:val="18"/>
        </w:rPr>
        <w:t xml:space="preserve"> </w:t>
      </w:r>
      <w:proofErr w:type="spellStart"/>
      <w:r>
        <w:rPr>
          <w:rFonts w:cs="Tahoma"/>
          <w:szCs w:val="18"/>
        </w:rPr>
        <w:t>poza</w:t>
      </w:r>
      <w:proofErr w:type="spellEnd"/>
      <w:r>
        <w:rPr>
          <w:rFonts w:cs="Tahoma"/>
          <w:szCs w:val="18"/>
        </w:rPr>
        <w:t xml:space="preserve"> </w:t>
      </w:r>
      <w:proofErr w:type="spellStart"/>
      <w:r>
        <w:rPr>
          <w:rFonts w:cs="Tahoma"/>
          <w:szCs w:val="18"/>
        </w:rPr>
        <w:t>miejsce</w:t>
      </w:r>
      <w:proofErr w:type="spellEnd"/>
      <w:r>
        <w:rPr>
          <w:rFonts w:cs="Tahoma"/>
          <w:szCs w:val="18"/>
        </w:rPr>
        <w:t xml:space="preserve"> </w:t>
      </w:r>
      <w:proofErr w:type="spellStart"/>
      <w:r>
        <w:rPr>
          <w:rFonts w:cs="Tahoma"/>
          <w:szCs w:val="18"/>
        </w:rPr>
        <w:t>stałego</w:t>
      </w:r>
      <w:proofErr w:type="spellEnd"/>
      <w:r>
        <w:rPr>
          <w:rFonts w:cs="Tahoma"/>
          <w:szCs w:val="18"/>
        </w:rPr>
        <w:t xml:space="preserve"> </w:t>
      </w:r>
      <w:proofErr w:type="spellStart"/>
      <w:r>
        <w:rPr>
          <w:rFonts w:cs="Tahoma"/>
          <w:szCs w:val="18"/>
        </w:rPr>
        <w:t>adresu</w:t>
      </w:r>
      <w:proofErr w:type="spellEnd"/>
      <w:r>
        <w:rPr>
          <w:rFonts w:cs="Tahoma"/>
          <w:szCs w:val="18"/>
        </w:rPr>
        <w:t xml:space="preserve"> </w:t>
      </w:r>
      <w:proofErr w:type="spellStart"/>
      <w:r>
        <w:rPr>
          <w:rFonts w:cs="Tahoma"/>
          <w:szCs w:val="18"/>
        </w:rPr>
        <w:t>Ubezpieczającego</w:t>
      </w:r>
      <w:proofErr w:type="spellEnd"/>
      <w:r>
        <w:rPr>
          <w:rFonts w:cs="Tahoma"/>
          <w:szCs w:val="18"/>
        </w:rPr>
        <w:t>.</w:t>
      </w:r>
    </w:p>
    <w:p w:rsidR="00624AD8" w:rsidRDefault="00D45995" w:rsidP="00B0069C">
      <w:pPr>
        <w:spacing w:after="0" w:line="240" w:lineRule="auto"/>
        <w:ind w:left="720"/>
        <w:jc w:val="both"/>
        <w:rPr>
          <w:rFonts w:cs="Tahoma"/>
          <w:szCs w:val="18"/>
          <w:lang w:val="pl-PL"/>
        </w:rPr>
      </w:pPr>
      <w:r>
        <w:rPr>
          <w:rFonts w:cs="Tahoma"/>
          <w:szCs w:val="18"/>
          <w:lang w:val="pl-PL"/>
        </w:rPr>
        <w:t>Do ubezpieczenia będzie miała zastosowanie Klauzula 101/1 o treści :</w:t>
      </w:r>
    </w:p>
    <w:p w:rsidR="00D45995" w:rsidRDefault="00D45995" w:rsidP="00D45995">
      <w:pPr>
        <w:pStyle w:val="Akapitzlist"/>
        <w:rPr>
          <w:rFonts w:ascii="Calibri" w:hAnsi="Calibri" w:cs="Tahoma"/>
          <w:sz w:val="22"/>
        </w:rPr>
      </w:pPr>
      <w:r>
        <w:rPr>
          <w:rFonts w:ascii="Calibri" w:hAnsi="Calibri" w:cs="Tahoma"/>
          <w:sz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w:t>
      </w:r>
      <w:r>
        <w:rPr>
          <w:rFonts w:cs="Tahoma"/>
        </w:rPr>
        <w:t xml:space="preserve"> </w:t>
      </w:r>
      <w:r>
        <w:rPr>
          <w:rFonts w:ascii="Calibri" w:hAnsi="Calibri" w:cs="Tahoma"/>
          <w:sz w:val="22"/>
        </w:rPr>
        <w:t>użytkowanym do celów służbowych poza miejscem ubezpieczenia określonym w polisie.</w:t>
      </w:r>
    </w:p>
    <w:p w:rsidR="00D45995" w:rsidRDefault="00D45995" w:rsidP="00D45995">
      <w:pPr>
        <w:pStyle w:val="Akapitzlist"/>
        <w:rPr>
          <w:rFonts w:ascii="Calibri" w:hAnsi="Calibri" w:cs="Tahoma"/>
          <w:sz w:val="22"/>
        </w:rPr>
      </w:pPr>
      <w:r>
        <w:rPr>
          <w:rFonts w:ascii="Calibri" w:hAnsi="Calibri" w:cs="Tahoma"/>
          <w:sz w:val="22"/>
        </w:rPr>
        <w:t>W przypadku kradzieży z włamaniem ubezpieczonych przedmiotów z pojazdu, Ubezpieczyciel odpowiada tylko wtedy gdy :</w:t>
      </w:r>
    </w:p>
    <w:p w:rsidR="00D45995" w:rsidRDefault="00D45995" w:rsidP="00D45995">
      <w:pPr>
        <w:pStyle w:val="Akapitzlist"/>
        <w:rPr>
          <w:rFonts w:ascii="Calibri" w:hAnsi="Calibri" w:cs="Tahoma"/>
          <w:sz w:val="22"/>
        </w:rPr>
      </w:pPr>
      <w:r>
        <w:rPr>
          <w:rFonts w:ascii="Calibri" w:hAnsi="Calibri" w:cs="Tahoma"/>
          <w:sz w:val="22"/>
        </w:rPr>
        <w:t>- pojazd posiada trwałe zadaszenie (jednolita sztywna konstrukcja)</w:t>
      </w:r>
    </w:p>
    <w:p w:rsidR="00D45995" w:rsidRDefault="00D45995" w:rsidP="00D45995">
      <w:pPr>
        <w:pStyle w:val="Akapitzlist"/>
        <w:rPr>
          <w:rFonts w:ascii="Calibri" w:hAnsi="Calibri" w:cs="Tahoma"/>
          <w:sz w:val="22"/>
        </w:rPr>
      </w:pPr>
      <w:r>
        <w:rPr>
          <w:rFonts w:ascii="Calibri" w:hAnsi="Calibri" w:cs="Tahoma"/>
          <w:sz w:val="22"/>
        </w:rPr>
        <w:t>- w trakcie postoju podczas transportu pojazd został prawidłowo zamknięty na wszystkie istniejące zamki i włączony został sprawnie działający system alarmowy</w:t>
      </w:r>
    </w:p>
    <w:p w:rsidR="00D45995" w:rsidRDefault="00D45995" w:rsidP="00D45995">
      <w:pPr>
        <w:pStyle w:val="Akapitzlist"/>
        <w:rPr>
          <w:rFonts w:ascii="Calibri" w:hAnsi="Calibri" w:cs="Tahoma"/>
          <w:sz w:val="22"/>
        </w:rPr>
      </w:pPr>
      <w:r>
        <w:rPr>
          <w:rFonts w:ascii="Calibri" w:hAnsi="Calibri" w:cs="Tahoma"/>
          <w:sz w:val="22"/>
        </w:rPr>
        <w:t>- kradzież z włamaniem miała miejsce pomiędzy 6.00 a 22.00 (ograniczeń czasowych nie stosuje się, gdy pojazd z transportowanym sprzętem był pozostawiony na parkingu strzeżonym lub w zamkniętym garażu); odpowiedzialność za ryzyko kradzieży z włamaniem  z pojazdu, istnieje także w godzinach 22.00-6.00, jeśli przy zachowaniu należytej staranności, z uwagi na uwarunkowania podczas realizacji planu filmowego ( np. zdjęcia na rozległych obszarach leśnych) nie było możliwości pozostawienia pojazdu na terenie ogrodzonym stałym parkanem, zamkniętym i oświetlonym w porze nocnej oraz całodo</w:t>
      </w:r>
      <w:r w:rsidR="000E0B7F">
        <w:rPr>
          <w:rFonts w:ascii="Calibri" w:hAnsi="Calibri" w:cs="Tahoma"/>
          <w:sz w:val="22"/>
        </w:rPr>
        <w:t>bowo dozorowanym;</w:t>
      </w:r>
    </w:p>
    <w:p w:rsidR="000E0B7F" w:rsidRDefault="000E0B7F" w:rsidP="00D45995">
      <w:pPr>
        <w:pStyle w:val="Akapitzlist"/>
        <w:rPr>
          <w:rFonts w:ascii="Calibri" w:hAnsi="Calibri" w:cs="Tahoma"/>
          <w:sz w:val="22"/>
        </w:rPr>
      </w:pPr>
      <w:r>
        <w:rPr>
          <w:rFonts w:ascii="Calibri" w:hAnsi="Calibri" w:cs="Tahoma"/>
          <w:sz w:val="22"/>
        </w:rPr>
        <w:t>- sprzęt pozostawiony w pojeździe jest niewidoczny z zewnątrz, np. w bagażniku</w:t>
      </w:r>
    </w:p>
    <w:p w:rsidR="000E0B7F" w:rsidRDefault="000E0B7F" w:rsidP="000E0B7F">
      <w:pPr>
        <w:pStyle w:val="Akapitzlist"/>
        <w:rPr>
          <w:rFonts w:ascii="Calibri" w:hAnsi="Calibri" w:cs="Tahoma"/>
          <w:sz w:val="22"/>
        </w:rPr>
      </w:pPr>
      <w:r>
        <w:rPr>
          <w:rFonts w:ascii="Calibri" w:hAnsi="Calibri" w:cs="Tahoma"/>
          <w:sz w:val="22"/>
        </w:rPr>
        <w:lastRenderedPageBreak/>
        <w:t>W każdym przypadku utraty sprzętu w wyniku kradzieży z włamaniem lub rabunku. Ubezpieczający ponosi udział własny w wysokości 25% wartości szkody, nie mniejszy jednak od ustalonego w polisie.</w:t>
      </w:r>
    </w:p>
    <w:p w:rsidR="000E0B7F" w:rsidRDefault="000E0B7F" w:rsidP="000E0B7F">
      <w:pPr>
        <w:pStyle w:val="Akapitzlist"/>
        <w:rPr>
          <w:rFonts w:ascii="Calibri" w:hAnsi="Calibri" w:cs="Tahoma"/>
          <w:sz w:val="22"/>
        </w:rPr>
      </w:pPr>
      <w:r>
        <w:rPr>
          <w:rFonts w:ascii="Calibri" w:hAnsi="Calibri" w:cs="Tahoma"/>
          <w:sz w:val="22"/>
        </w:rPr>
        <w:t>Ubezpieczyciel nie odpowiada za szkody objęte polisą Auto-Casco i OC oraz powstałe w skutek niewłaściwego, niezgodnego z zaleceniami producenta opakowania lub jego braku.</w:t>
      </w:r>
    </w:p>
    <w:p w:rsidR="000E0B7F" w:rsidRDefault="000E0B7F" w:rsidP="000E0B7F">
      <w:pPr>
        <w:pStyle w:val="Akapitzlist"/>
        <w:rPr>
          <w:rFonts w:ascii="Calibri" w:hAnsi="Calibri" w:cs="Tahoma"/>
          <w:sz w:val="22"/>
        </w:rPr>
      </w:pPr>
      <w:r>
        <w:rPr>
          <w:rFonts w:ascii="Calibri" w:hAnsi="Calibri" w:cs="Tahoma"/>
          <w:sz w:val="22"/>
        </w:rPr>
        <w:t>Ponadto Ubezpieczyciel odpowiada za szkody powstałe wskutek:</w:t>
      </w:r>
    </w:p>
    <w:p w:rsidR="000E0B7F" w:rsidRDefault="000E0B7F" w:rsidP="000E0B7F">
      <w:pPr>
        <w:pStyle w:val="Akapitzlist"/>
        <w:numPr>
          <w:ilvl w:val="0"/>
          <w:numId w:val="14"/>
        </w:numPr>
        <w:rPr>
          <w:rFonts w:ascii="Calibri" w:hAnsi="Calibri" w:cs="Tahoma"/>
          <w:sz w:val="22"/>
        </w:rPr>
      </w:pPr>
      <w:r>
        <w:rPr>
          <w:rFonts w:ascii="Calibri" w:hAnsi="Calibri" w:cs="Tahoma"/>
          <w:sz w:val="22"/>
        </w:rPr>
        <w:t xml:space="preserve">katastrofy lub wypadku środka komunikacji, </w:t>
      </w:r>
    </w:p>
    <w:p w:rsidR="000E0B7F" w:rsidRDefault="000E0B7F" w:rsidP="000E0B7F">
      <w:pPr>
        <w:pStyle w:val="Akapitzlist"/>
        <w:numPr>
          <w:ilvl w:val="0"/>
          <w:numId w:val="14"/>
        </w:numPr>
        <w:rPr>
          <w:rFonts w:ascii="Calibri" w:hAnsi="Calibri" w:cs="Tahoma"/>
          <w:sz w:val="22"/>
        </w:rPr>
      </w:pPr>
      <w:r>
        <w:rPr>
          <w:rFonts w:ascii="Calibri" w:hAnsi="Calibri" w:cs="Tahoma"/>
          <w:sz w:val="22"/>
        </w:rPr>
        <w:t>kradzieży z włamaniem z zamkniętych pomieszczeń oraz kradzieży z włamaniem do użytkowanego środka transportu. W odniesieniu do szkód powstałych wskutek kradzieży z włamaniem do środka transportu (samochodu), Ubezpieczyciel ponosi odpowiedzialność tylko wówczas, gdy zostały spełnione warunki określone w klauzuli 101/1</w:t>
      </w:r>
    </w:p>
    <w:p w:rsidR="000E0B7F" w:rsidRDefault="000E0B7F" w:rsidP="000E0B7F">
      <w:pPr>
        <w:pStyle w:val="Akapitzlist"/>
        <w:numPr>
          <w:ilvl w:val="0"/>
          <w:numId w:val="14"/>
        </w:numPr>
        <w:rPr>
          <w:rFonts w:ascii="Calibri" w:hAnsi="Calibri" w:cs="Tahoma"/>
          <w:sz w:val="22"/>
        </w:rPr>
      </w:pPr>
      <w:r>
        <w:rPr>
          <w:rFonts w:ascii="Calibri" w:hAnsi="Calibri" w:cs="Tahoma"/>
          <w:sz w:val="22"/>
        </w:rPr>
        <w:t xml:space="preserve">dokonanego lub </w:t>
      </w:r>
      <w:proofErr w:type="spellStart"/>
      <w:r>
        <w:rPr>
          <w:rFonts w:ascii="Calibri" w:hAnsi="Calibri" w:cs="Tahoma"/>
          <w:sz w:val="22"/>
        </w:rPr>
        <w:t>usiłowanego</w:t>
      </w:r>
      <w:proofErr w:type="spellEnd"/>
      <w:r>
        <w:rPr>
          <w:rFonts w:ascii="Calibri" w:hAnsi="Calibri" w:cs="Tahoma"/>
          <w:sz w:val="22"/>
        </w:rPr>
        <w:t xml:space="preserve"> rabunku</w:t>
      </w:r>
    </w:p>
    <w:p w:rsidR="000E0B7F" w:rsidRDefault="000E0B7F" w:rsidP="000E0B7F">
      <w:pPr>
        <w:pStyle w:val="Akapitzlist"/>
        <w:numPr>
          <w:ilvl w:val="0"/>
          <w:numId w:val="14"/>
        </w:numPr>
        <w:rPr>
          <w:rFonts w:ascii="Calibri" w:hAnsi="Calibri" w:cs="Tahoma"/>
          <w:sz w:val="22"/>
        </w:rPr>
      </w:pPr>
      <w:r>
        <w:rPr>
          <w:rFonts w:ascii="Calibri" w:hAnsi="Calibri" w:cs="Tahoma"/>
          <w:sz w:val="22"/>
        </w:rPr>
        <w:t xml:space="preserve">zdarzeń losowych w postaci ognia, huraganu, powodzi, piorunu, wybuchu, deszczu nawalnego, gradu, upadku pojazdu powietrznego, wydostania się wody z urządzeń wodno-kanalizacyjnych, lawiny, zapadania się ziemi, usuwania się ziemi, </w:t>
      </w:r>
    </w:p>
    <w:p w:rsidR="000E0B7F" w:rsidRDefault="000E0B7F" w:rsidP="000E0B7F">
      <w:pPr>
        <w:pStyle w:val="Akapitzlist"/>
        <w:numPr>
          <w:ilvl w:val="0"/>
          <w:numId w:val="14"/>
        </w:numPr>
        <w:rPr>
          <w:rFonts w:ascii="Calibri" w:hAnsi="Calibri" w:cs="Tahoma"/>
          <w:sz w:val="22"/>
        </w:rPr>
      </w:pPr>
      <w:r>
        <w:rPr>
          <w:rFonts w:ascii="Calibri" w:hAnsi="Calibri" w:cs="Tahoma"/>
          <w:sz w:val="22"/>
        </w:rPr>
        <w:t>zaginięcia ubezpieczonych przedmiotów w czasie zdarzenia losowego, o którym mowa w pkt. 1 i 4, lub wskutek nieszczęśliwego wypadku oraz nagł</w:t>
      </w:r>
      <w:r w:rsidR="00CD0296">
        <w:rPr>
          <w:rFonts w:ascii="Calibri" w:hAnsi="Calibri" w:cs="Tahoma"/>
          <w:sz w:val="22"/>
        </w:rPr>
        <w:t>ego zachorowania ubezpieczającego (potwierdzonego zaświadczeniem lekarskim), w wyniku którego był on pozbawiony możliwości zaopiekowania się sprzętem,</w:t>
      </w:r>
    </w:p>
    <w:p w:rsidR="00CD0296" w:rsidRDefault="00CD0296" w:rsidP="000E0B7F">
      <w:pPr>
        <w:pStyle w:val="Akapitzlist"/>
        <w:numPr>
          <w:ilvl w:val="0"/>
          <w:numId w:val="14"/>
        </w:numPr>
        <w:rPr>
          <w:rFonts w:ascii="Calibri" w:hAnsi="Calibri" w:cs="Tahoma"/>
          <w:sz w:val="22"/>
        </w:rPr>
      </w:pPr>
      <w:r>
        <w:rPr>
          <w:rFonts w:ascii="Calibri" w:hAnsi="Calibri" w:cs="Tahoma"/>
          <w:sz w:val="22"/>
        </w:rPr>
        <w:t>nieumyślnego zniszczenia lub uszkodzenia sprzętu w związku z jego użytkowaniem</w:t>
      </w:r>
    </w:p>
    <w:p w:rsidR="00CD0296" w:rsidRDefault="00CD0296" w:rsidP="00CD0296">
      <w:pPr>
        <w:ind w:left="720"/>
        <w:rPr>
          <w:rFonts w:cs="Tahoma"/>
        </w:rPr>
      </w:pPr>
      <w:proofErr w:type="spellStart"/>
      <w:r>
        <w:rPr>
          <w:rFonts w:cs="Tahoma"/>
        </w:rPr>
        <w:t>Za</w:t>
      </w:r>
      <w:proofErr w:type="spellEnd"/>
      <w:r>
        <w:rPr>
          <w:rFonts w:cs="Tahoma"/>
        </w:rPr>
        <w:t xml:space="preserve"> </w:t>
      </w:r>
      <w:proofErr w:type="spellStart"/>
      <w:r>
        <w:rPr>
          <w:rFonts w:cs="Tahoma"/>
        </w:rPr>
        <w:t>szkodę</w:t>
      </w:r>
      <w:proofErr w:type="spellEnd"/>
      <w:r>
        <w:rPr>
          <w:rFonts w:cs="Tahoma"/>
        </w:rPr>
        <w:t xml:space="preserve"> w </w:t>
      </w:r>
      <w:proofErr w:type="spellStart"/>
      <w:r>
        <w:rPr>
          <w:rFonts w:cs="Tahoma"/>
        </w:rPr>
        <w:t>sprzęcie</w:t>
      </w:r>
      <w:proofErr w:type="spellEnd"/>
      <w:r>
        <w:rPr>
          <w:rFonts w:cs="Tahoma"/>
        </w:rPr>
        <w:t xml:space="preserve"> </w:t>
      </w:r>
      <w:proofErr w:type="spellStart"/>
      <w:r>
        <w:rPr>
          <w:rFonts w:cs="Tahoma"/>
        </w:rPr>
        <w:t>używanym</w:t>
      </w:r>
      <w:proofErr w:type="spellEnd"/>
      <w:r>
        <w:rPr>
          <w:rFonts w:cs="Tahoma"/>
        </w:rPr>
        <w:t xml:space="preserve"> </w:t>
      </w:r>
      <w:proofErr w:type="spellStart"/>
      <w:r>
        <w:rPr>
          <w:rFonts w:cs="Tahoma"/>
        </w:rPr>
        <w:t>na</w:t>
      </w:r>
      <w:proofErr w:type="spellEnd"/>
      <w:r>
        <w:rPr>
          <w:rFonts w:cs="Tahoma"/>
        </w:rPr>
        <w:t xml:space="preserve"> </w:t>
      </w:r>
      <w:proofErr w:type="spellStart"/>
      <w:r>
        <w:rPr>
          <w:rFonts w:cs="Tahoma"/>
        </w:rPr>
        <w:t>planie</w:t>
      </w:r>
      <w:proofErr w:type="spellEnd"/>
      <w:r>
        <w:rPr>
          <w:rFonts w:cs="Tahoma"/>
        </w:rPr>
        <w:t xml:space="preserve"> </w:t>
      </w:r>
      <w:proofErr w:type="spellStart"/>
      <w:r>
        <w:rPr>
          <w:rFonts w:cs="Tahoma"/>
        </w:rPr>
        <w:t>filmowym</w:t>
      </w:r>
      <w:proofErr w:type="spellEnd"/>
      <w:r>
        <w:rPr>
          <w:rFonts w:cs="Tahoma"/>
        </w:rPr>
        <w:t xml:space="preserve"> </w:t>
      </w:r>
      <w:proofErr w:type="spellStart"/>
      <w:r>
        <w:rPr>
          <w:rFonts w:cs="Tahoma"/>
        </w:rPr>
        <w:t>uważa</w:t>
      </w:r>
      <w:proofErr w:type="spellEnd"/>
      <w:r>
        <w:rPr>
          <w:rFonts w:cs="Tahoma"/>
        </w:rPr>
        <w:t xml:space="preserve"> </w:t>
      </w:r>
      <w:proofErr w:type="spellStart"/>
      <w:r>
        <w:rPr>
          <w:rFonts w:cs="Tahoma"/>
        </w:rPr>
        <w:t>się</w:t>
      </w:r>
      <w:proofErr w:type="spellEnd"/>
      <w:r>
        <w:rPr>
          <w:rFonts w:cs="Tahoma"/>
        </w:rPr>
        <w:t xml:space="preserve"> </w:t>
      </w:r>
      <w:proofErr w:type="spellStart"/>
      <w:r>
        <w:rPr>
          <w:rFonts w:cs="Tahoma"/>
        </w:rPr>
        <w:t>utratę</w:t>
      </w:r>
      <w:proofErr w:type="spellEnd"/>
      <w:r>
        <w:rPr>
          <w:rFonts w:cs="Tahoma"/>
        </w:rPr>
        <w:t xml:space="preserve"> </w:t>
      </w:r>
      <w:proofErr w:type="spellStart"/>
      <w:r>
        <w:rPr>
          <w:rFonts w:cs="Tahoma"/>
        </w:rPr>
        <w:t>lub</w:t>
      </w:r>
      <w:proofErr w:type="spellEnd"/>
      <w:r>
        <w:rPr>
          <w:rFonts w:cs="Tahoma"/>
        </w:rPr>
        <w:t xml:space="preserve"> </w:t>
      </w:r>
      <w:proofErr w:type="spellStart"/>
      <w:r>
        <w:rPr>
          <w:rFonts w:cs="Tahoma"/>
        </w:rPr>
        <w:t>ubytek</w:t>
      </w:r>
      <w:proofErr w:type="spellEnd"/>
      <w:r>
        <w:rPr>
          <w:rFonts w:cs="Tahoma"/>
        </w:rPr>
        <w:t xml:space="preserve"> </w:t>
      </w:r>
      <w:proofErr w:type="spellStart"/>
      <w:r>
        <w:rPr>
          <w:rFonts w:cs="Tahoma"/>
        </w:rPr>
        <w:t>wartości</w:t>
      </w:r>
      <w:proofErr w:type="spellEnd"/>
      <w:r>
        <w:rPr>
          <w:rFonts w:cs="Tahoma"/>
        </w:rPr>
        <w:t xml:space="preserve"> </w:t>
      </w:r>
      <w:proofErr w:type="spellStart"/>
      <w:r>
        <w:rPr>
          <w:rFonts w:cs="Tahoma"/>
        </w:rPr>
        <w:t>wartości</w:t>
      </w:r>
      <w:proofErr w:type="spellEnd"/>
      <w:r>
        <w:rPr>
          <w:rFonts w:cs="Tahoma"/>
        </w:rPr>
        <w:t xml:space="preserve"> </w:t>
      </w:r>
      <w:proofErr w:type="spellStart"/>
      <w:r>
        <w:rPr>
          <w:rFonts w:cs="Tahoma"/>
        </w:rPr>
        <w:t>ubezpieczonego</w:t>
      </w:r>
      <w:proofErr w:type="spellEnd"/>
      <w:r>
        <w:rPr>
          <w:rFonts w:cs="Tahoma"/>
        </w:rPr>
        <w:t xml:space="preserve"> </w:t>
      </w:r>
      <w:proofErr w:type="spellStart"/>
      <w:r>
        <w:rPr>
          <w:rFonts w:cs="Tahoma"/>
        </w:rPr>
        <w:t>sprzętu</w:t>
      </w:r>
      <w:proofErr w:type="spellEnd"/>
      <w:r>
        <w:rPr>
          <w:rFonts w:cs="Tahoma"/>
        </w:rPr>
        <w:t xml:space="preserve"> z </w:t>
      </w:r>
      <w:proofErr w:type="spellStart"/>
      <w:r>
        <w:rPr>
          <w:rFonts w:cs="Tahoma"/>
        </w:rPr>
        <w:t>powodu</w:t>
      </w:r>
      <w:proofErr w:type="spellEnd"/>
      <w:r>
        <w:rPr>
          <w:rFonts w:cs="Tahoma"/>
        </w:rPr>
        <w:t xml:space="preserve"> </w:t>
      </w:r>
      <w:proofErr w:type="spellStart"/>
      <w:r>
        <w:rPr>
          <w:rFonts w:cs="Tahoma"/>
        </w:rPr>
        <w:t>ich</w:t>
      </w:r>
      <w:proofErr w:type="spellEnd"/>
      <w:r>
        <w:rPr>
          <w:rFonts w:cs="Tahoma"/>
        </w:rPr>
        <w:t xml:space="preserve"> </w:t>
      </w:r>
      <w:proofErr w:type="spellStart"/>
      <w:r>
        <w:rPr>
          <w:rFonts w:cs="Tahoma"/>
        </w:rPr>
        <w:t>zniszczenia</w:t>
      </w:r>
      <w:proofErr w:type="spellEnd"/>
      <w:r>
        <w:rPr>
          <w:rFonts w:cs="Tahoma"/>
        </w:rPr>
        <w:t xml:space="preserve">, </w:t>
      </w:r>
      <w:proofErr w:type="spellStart"/>
      <w:r>
        <w:rPr>
          <w:rFonts w:cs="Tahoma"/>
        </w:rPr>
        <w:t>uszkodzenia</w:t>
      </w:r>
      <w:proofErr w:type="spellEnd"/>
      <w:r>
        <w:rPr>
          <w:rFonts w:cs="Tahoma"/>
        </w:rPr>
        <w:t xml:space="preserve">, </w:t>
      </w:r>
      <w:proofErr w:type="spellStart"/>
      <w:r>
        <w:rPr>
          <w:rFonts w:cs="Tahoma"/>
        </w:rPr>
        <w:t>zaginięcia</w:t>
      </w:r>
      <w:proofErr w:type="spellEnd"/>
      <w:r>
        <w:rPr>
          <w:rFonts w:cs="Tahoma"/>
        </w:rPr>
        <w:t xml:space="preserve"> </w:t>
      </w:r>
      <w:proofErr w:type="spellStart"/>
      <w:r>
        <w:rPr>
          <w:rFonts w:cs="Tahoma"/>
        </w:rPr>
        <w:t>lub</w:t>
      </w:r>
      <w:proofErr w:type="spellEnd"/>
      <w:r>
        <w:rPr>
          <w:rFonts w:cs="Tahoma"/>
        </w:rPr>
        <w:t xml:space="preserve"> </w:t>
      </w:r>
      <w:proofErr w:type="spellStart"/>
      <w:r>
        <w:rPr>
          <w:rFonts w:cs="Tahoma"/>
        </w:rPr>
        <w:t>zaboru</w:t>
      </w:r>
      <w:proofErr w:type="spellEnd"/>
      <w:r>
        <w:rPr>
          <w:rFonts w:cs="Tahoma"/>
        </w:rPr>
        <w:t xml:space="preserve"> </w:t>
      </w:r>
      <w:proofErr w:type="spellStart"/>
      <w:r>
        <w:rPr>
          <w:rFonts w:cs="Tahoma"/>
        </w:rPr>
        <w:t>wskutek</w:t>
      </w:r>
      <w:proofErr w:type="spellEnd"/>
      <w:r>
        <w:rPr>
          <w:rFonts w:cs="Tahoma"/>
        </w:rPr>
        <w:t xml:space="preserve"> </w:t>
      </w:r>
      <w:proofErr w:type="spellStart"/>
      <w:r>
        <w:rPr>
          <w:rFonts w:cs="Tahoma"/>
        </w:rPr>
        <w:t>zdarzeń</w:t>
      </w:r>
      <w:proofErr w:type="spellEnd"/>
      <w:r>
        <w:rPr>
          <w:rFonts w:cs="Tahoma"/>
        </w:rPr>
        <w:t xml:space="preserve"> </w:t>
      </w:r>
      <w:proofErr w:type="spellStart"/>
      <w:r>
        <w:rPr>
          <w:rFonts w:cs="Tahoma"/>
        </w:rPr>
        <w:t>wymienionych</w:t>
      </w:r>
      <w:proofErr w:type="spellEnd"/>
      <w:r>
        <w:rPr>
          <w:rFonts w:cs="Tahoma"/>
        </w:rPr>
        <w:t xml:space="preserve"> w </w:t>
      </w:r>
      <w:proofErr w:type="spellStart"/>
      <w:r>
        <w:rPr>
          <w:rFonts w:cs="Tahoma"/>
        </w:rPr>
        <w:t>ust</w:t>
      </w:r>
      <w:proofErr w:type="spellEnd"/>
      <w:r>
        <w:rPr>
          <w:rFonts w:cs="Tahoma"/>
        </w:rPr>
        <w:t>. 1)-6)</w:t>
      </w:r>
    </w:p>
    <w:p w:rsidR="00CD0296" w:rsidRDefault="00CD0296" w:rsidP="00CD0296">
      <w:pPr>
        <w:ind w:left="720"/>
        <w:rPr>
          <w:rFonts w:cs="Tahoma"/>
        </w:rPr>
      </w:pPr>
      <w:proofErr w:type="spellStart"/>
      <w:r>
        <w:rPr>
          <w:rFonts w:cs="Tahoma"/>
        </w:rPr>
        <w:t>Ograniczenia</w:t>
      </w:r>
      <w:proofErr w:type="spellEnd"/>
      <w:r>
        <w:rPr>
          <w:rFonts w:cs="Tahoma"/>
        </w:rPr>
        <w:t xml:space="preserve"> </w:t>
      </w:r>
      <w:proofErr w:type="spellStart"/>
      <w:r>
        <w:rPr>
          <w:rFonts w:cs="Tahoma"/>
        </w:rPr>
        <w:t>odpowiedzialności</w:t>
      </w:r>
      <w:proofErr w:type="spellEnd"/>
      <w:r>
        <w:rPr>
          <w:rFonts w:cs="Tahoma"/>
        </w:rPr>
        <w:t xml:space="preserve"> </w:t>
      </w:r>
    </w:p>
    <w:p w:rsidR="00CD0296" w:rsidRDefault="00CD0296" w:rsidP="00CD0296">
      <w:pPr>
        <w:pStyle w:val="Akapitzlist"/>
        <w:numPr>
          <w:ilvl w:val="6"/>
          <w:numId w:val="1"/>
        </w:numPr>
        <w:ind w:left="851"/>
        <w:rPr>
          <w:rFonts w:ascii="Calibri" w:hAnsi="Calibri" w:cs="Tahoma"/>
          <w:sz w:val="22"/>
        </w:rPr>
      </w:pPr>
      <w:r>
        <w:rPr>
          <w:rFonts w:ascii="Calibri" w:hAnsi="Calibri" w:cs="Tahoma"/>
          <w:sz w:val="22"/>
        </w:rPr>
        <w:t>Ubezpieczyciel nie odpowiada za szkody :</w:t>
      </w:r>
    </w:p>
    <w:p w:rsidR="00CD0296" w:rsidRDefault="00CD0296" w:rsidP="00CD0296">
      <w:pPr>
        <w:pStyle w:val="Akapitzlist"/>
        <w:numPr>
          <w:ilvl w:val="0"/>
          <w:numId w:val="15"/>
        </w:numPr>
        <w:rPr>
          <w:rFonts w:ascii="Calibri" w:hAnsi="Calibri" w:cs="Tahoma"/>
          <w:sz w:val="22"/>
        </w:rPr>
      </w:pPr>
      <w:r>
        <w:rPr>
          <w:rFonts w:ascii="Calibri" w:hAnsi="Calibri" w:cs="Tahoma"/>
          <w:sz w:val="22"/>
        </w:rPr>
        <w:t>wyrządzone umyślnie lub wskutek rażącego niedbalstwa przez ubezpieczającego, osobę, za którą ubezpieczający ponosi odpowiedzialność lub która pozostaje z ubezpieczającym we wspólnym gospodarstwie domowym</w:t>
      </w:r>
    </w:p>
    <w:p w:rsidR="00CD0296" w:rsidRDefault="00CD0296" w:rsidP="00CD0296">
      <w:pPr>
        <w:pStyle w:val="Akapitzlist"/>
        <w:numPr>
          <w:ilvl w:val="0"/>
          <w:numId w:val="15"/>
        </w:numPr>
        <w:rPr>
          <w:rFonts w:ascii="Calibri" w:hAnsi="Calibri" w:cs="Tahoma"/>
          <w:sz w:val="22"/>
        </w:rPr>
      </w:pPr>
      <w:r>
        <w:rPr>
          <w:rFonts w:ascii="Calibri" w:hAnsi="Calibri" w:cs="Tahoma"/>
          <w:sz w:val="22"/>
        </w:rPr>
        <w:t>polegające na uszkodzeniu środków transportu,</w:t>
      </w:r>
    </w:p>
    <w:p w:rsidR="00CD0296" w:rsidRDefault="00CD0296" w:rsidP="00CD0296">
      <w:pPr>
        <w:pStyle w:val="Akapitzlist"/>
        <w:numPr>
          <w:ilvl w:val="0"/>
          <w:numId w:val="15"/>
        </w:numPr>
        <w:rPr>
          <w:rFonts w:ascii="Calibri" w:hAnsi="Calibri" w:cs="Tahoma"/>
          <w:sz w:val="22"/>
        </w:rPr>
      </w:pPr>
      <w:r>
        <w:rPr>
          <w:rFonts w:ascii="Calibri" w:hAnsi="Calibri" w:cs="Tahoma"/>
          <w:sz w:val="22"/>
        </w:rPr>
        <w:t>polegające na uszkodzeniu bądź kradzieży wyposażenia pojazdu samochodowego, które może być przedmiotem ubezpieczenia auto casco</w:t>
      </w:r>
    </w:p>
    <w:p w:rsidR="00CD0296" w:rsidRDefault="00CD0296" w:rsidP="00CD0296">
      <w:pPr>
        <w:pStyle w:val="Akapitzlist"/>
        <w:numPr>
          <w:ilvl w:val="0"/>
          <w:numId w:val="15"/>
        </w:numPr>
        <w:rPr>
          <w:rFonts w:ascii="Calibri" w:hAnsi="Calibri" w:cs="Tahoma"/>
          <w:sz w:val="22"/>
        </w:rPr>
      </w:pPr>
      <w:r>
        <w:rPr>
          <w:rFonts w:ascii="Calibri" w:hAnsi="Calibri" w:cs="Tahoma"/>
          <w:sz w:val="22"/>
        </w:rPr>
        <w:t>polegające na utracie, zniszczeniu lub uszkodzeniu sprzętu w związku z jego używaniem, z zastrzeżeniem odpowiedzialności Ubezpieczyciela za szkody powstałe wskutek nieumyślnego zniszczenia lub uszkodzenia sprzętu w związku z jego użytkowaniem.</w:t>
      </w:r>
    </w:p>
    <w:p w:rsidR="00CD0296" w:rsidRDefault="00CD0296" w:rsidP="00CD0296">
      <w:pPr>
        <w:pStyle w:val="Akapitzlist"/>
        <w:numPr>
          <w:ilvl w:val="0"/>
          <w:numId w:val="15"/>
        </w:numPr>
        <w:rPr>
          <w:rFonts w:ascii="Calibri" w:hAnsi="Calibri" w:cs="Tahoma"/>
          <w:sz w:val="22"/>
        </w:rPr>
      </w:pPr>
      <w:r>
        <w:rPr>
          <w:rFonts w:ascii="Calibri" w:hAnsi="Calibri" w:cs="Tahoma"/>
          <w:sz w:val="22"/>
        </w:rPr>
        <w:t>powstałe w aparatach lub innych urządzeniach w skutek</w:t>
      </w:r>
      <w:r w:rsidR="00655330">
        <w:rPr>
          <w:rFonts w:ascii="Calibri" w:hAnsi="Calibri" w:cs="Tahoma"/>
          <w:sz w:val="22"/>
        </w:rPr>
        <w:t xml:space="preserve"> działania prądu elektrycznego podczas ich eksploatacji, chyba że działanie prądu spowodowało jednocześnie pożar,</w:t>
      </w:r>
    </w:p>
    <w:p w:rsidR="00655330" w:rsidRDefault="00655330" w:rsidP="00CD0296">
      <w:pPr>
        <w:pStyle w:val="Akapitzlist"/>
        <w:numPr>
          <w:ilvl w:val="0"/>
          <w:numId w:val="15"/>
        </w:numPr>
        <w:rPr>
          <w:rFonts w:ascii="Calibri" w:hAnsi="Calibri" w:cs="Tahoma"/>
          <w:sz w:val="22"/>
        </w:rPr>
      </w:pPr>
      <w:r>
        <w:rPr>
          <w:rFonts w:ascii="Calibri" w:hAnsi="Calibri" w:cs="Tahoma"/>
          <w:sz w:val="22"/>
        </w:rPr>
        <w:t>powstałe w wyniku konfiskaty, zatrzymania lub zniszczenia sprzętu przez odpowiednie władze np. organy celne</w:t>
      </w:r>
    </w:p>
    <w:p w:rsidR="00655330" w:rsidRDefault="00655330" w:rsidP="00CD0296">
      <w:pPr>
        <w:pStyle w:val="Akapitzlist"/>
        <w:numPr>
          <w:ilvl w:val="0"/>
          <w:numId w:val="15"/>
        </w:numPr>
        <w:rPr>
          <w:rFonts w:ascii="Calibri" w:hAnsi="Calibri" w:cs="Tahoma"/>
          <w:sz w:val="22"/>
        </w:rPr>
      </w:pPr>
      <w:r>
        <w:rPr>
          <w:rFonts w:ascii="Calibri" w:hAnsi="Calibri" w:cs="Tahoma"/>
          <w:sz w:val="22"/>
        </w:rPr>
        <w:t>powstałe wskutek działań wojennych, trzęsienia ziemi, działania energii jądrowej, wewnętrznych zamieszek i rozruchów oraz ataku terroryzmu</w:t>
      </w:r>
    </w:p>
    <w:p w:rsidR="00655330" w:rsidRDefault="000A22F7" w:rsidP="00CD0296">
      <w:pPr>
        <w:pStyle w:val="Akapitzlist"/>
        <w:numPr>
          <w:ilvl w:val="0"/>
          <w:numId w:val="15"/>
        </w:numPr>
        <w:rPr>
          <w:rFonts w:ascii="Calibri" w:hAnsi="Calibri" w:cs="Tahoma"/>
          <w:sz w:val="22"/>
        </w:rPr>
      </w:pPr>
      <w:r>
        <w:rPr>
          <w:rFonts w:ascii="Calibri" w:hAnsi="Calibri" w:cs="Tahoma"/>
          <w:sz w:val="22"/>
        </w:rPr>
        <w:t>powstałe poza granicami Europy</w:t>
      </w:r>
    </w:p>
    <w:p w:rsidR="000A22F7" w:rsidRDefault="000A22F7" w:rsidP="000A22F7">
      <w:pPr>
        <w:pStyle w:val="Akapitzlist"/>
        <w:numPr>
          <w:ilvl w:val="3"/>
          <w:numId w:val="1"/>
        </w:numPr>
        <w:ind w:left="851"/>
        <w:rPr>
          <w:rFonts w:ascii="Calibri" w:hAnsi="Calibri" w:cs="Tahoma"/>
          <w:sz w:val="22"/>
        </w:rPr>
      </w:pPr>
      <w:r w:rsidRPr="000A22F7">
        <w:rPr>
          <w:rFonts w:ascii="Calibri" w:hAnsi="Calibri" w:cs="Tahoma"/>
          <w:sz w:val="22"/>
        </w:rPr>
        <w:t xml:space="preserve">Ponadto umową </w:t>
      </w:r>
      <w:r>
        <w:rPr>
          <w:rFonts w:ascii="Calibri" w:hAnsi="Calibri" w:cs="Tahoma"/>
          <w:sz w:val="22"/>
        </w:rPr>
        <w:t xml:space="preserve">ubezpieczenia nie </w:t>
      </w:r>
      <w:proofErr w:type="spellStart"/>
      <w:r>
        <w:rPr>
          <w:rFonts w:ascii="Calibri" w:hAnsi="Calibri" w:cs="Tahoma"/>
          <w:sz w:val="22"/>
        </w:rPr>
        <w:t>sa</w:t>
      </w:r>
      <w:proofErr w:type="spellEnd"/>
      <w:r>
        <w:rPr>
          <w:rFonts w:ascii="Calibri" w:hAnsi="Calibri" w:cs="Tahoma"/>
          <w:sz w:val="22"/>
        </w:rPr>
        <w:t xml:space="preserve"> objęte :</w:t>
      </w:r>
    </w:p>
    <w:p w:rsidR="000A22F7" w:rsidRDefault="000A22F7" w:rsidP="000A22F7">
      <w:pPr>
        <w:pStyle w:val="Akapitzlist"/>
        <w:numPr>
          <w:ilvl w:val="0"/>
          <w:numId w:val="16"/>
        </w:numPr>
        <w:rPr>
          <w:rFonts w:ascii="Calibri" w:hAnsi="Calibri" w:cs="Tahoma"/>
          <w:sz w:val="22"/>
        </w:rPr>
      </w:pPr>
      <w:r>
        <w:rPr>
          <w:rFonts w:ascii="Calibri" w:hAnsi="Calibri" w:cs="Tahoma"/>
          <w:sz w:val="22"/>
        </w:rPr>
        <w:t>przedmioty ze srebra, złoty i platyny oraz biżuteria</w:t>
      </w:r>
    </w:p>
    <w:p w:rsidR="000A22F7" w:rsidRDefault="000A22F7" w:rsidP="000A22F7">
      <w:pPr>
        <w:pStyle w:val="Akapitzlist"/>
        <w:numPr>
          <w:ilvl w:val="0"/>
          <w:numId w:val="16"/>
        </w:numPr>
        <w:rPr>
          <w:rFonts w:ascii="Calibri" w:hAnsi="Calibri" w:cs="Tahoma"/>
          <w:sz w:val="22"/>
        </w:rPr>
      </w:pPr>
      <w:r>
        <w:rPr>
          <w:rFonts w:ascii="Calibri" w:hAnsi="Calibri" w:cs="Tahoma"/>
          <w:sz w:val="22"/>
        </w:rPr>
        <w:t>kamienie szlachetne, syntetyczne, szlachetne substancje organiczne (perły, bursztyny, korale),</w:t>
      </w:r>
    </w:p>
    <w:p w:rsidR="000A22F7" w:rsidRDefault="000A22F7" w:rsidP="000A22F7">
      <w:pPr>
        <w:pStyle w:val="Akapitzlist"/>
        <w:numPr>
          <w:ilvl w:val="0"/>
          <w:numId w:val="16"/>
        </w:numPr>
        <w:rPr>
          <w:rFonts w:ascii="Calibri" w:hAnsi="Calibri" w:cs="Tahoma"/>
          <w:sz w:val="22"/>
        </w:rPr>
      </w:pPr>
      <w:r>
        <w:rPr>
          <w:rFonts w:ascii="Calibri" w:hAnsi="Calibri" w:cs="Tahoma"/>
          <w:sz w:val="22"/>
        </w:rPr>
        <w:t>dzieła sztuki, zbiory kolekcjonerskie, rękopisy i dokumenty</w:t>
      </w:r>
    </w:p>
    <w:p w:rsidR="000A22F7" w:rsidRDefault="000A22F7" w:rsidP="000A22F7">
      <w:pPr>
        <w:pStyle w:val="Akapitzlist"/>
        <w:numPr>
          <w:ilvl w:val="0"/>
          <w:numId w:val="16"/>
        </w:numPr>
        <w:rPr>
          <w:rFonts w:ascii="Calibri" w:hAnsi="Calibri" w:cs="Tahoma"/>
          <w:sz w:val="22"/>
        </w:rPr>
      </w:pPr>
      <w:r>
        <w:rPr>
          <w:rFonts w:ascii="Calibri" w:hAnsi="Calibri" w:cs="Tahoma"/>
          <w:sz w:val="22"/>
        </w:rPr>
        <w:t>pieniądze i inne środki płatnicze, papiery wartościowe i książeczki oszczędnościowe,</w:t>
      </w:r>
    </w:p>
    <w:p w:rsidR="000A22F7" w:rsidRDefault="000A22F7" w:rsidP="000A22F7">
      <w:pPr>
        <w:pStyle w:val="Akapitzlist"/>
        <w:numPr>
          <w:ilvl w:val="0"/>
          <w:numId w:val="16"/>
        </w:numPr>
        <w:rPr>
          <w:rFonts w:ascii="Calibri" w:hAnsi="Calibri" w:cs="Tahoma"/>
          <w:sz w:val="22"/>
        </w:rPr>
      </w:pPr>
      <w:r>
        <w:rPr>
          <w:rFonts w:ascii="Calibri" w:hAnsi="Calibri" w:cs="Tahoma"/>
          <w:sz w:val="22"/>
        </w:rPr>
        <w:t>sprzęt komputerowy (z wyłączeniem sprzętu objętego ubezpieczeniem).</w:t>
      </w:r>
    </w:p>
    <w:p w:rsidR="000A22F7" w:rsidRDefault="000A22F7" w:rsidP="000A22F7">
      <w:pPr>
        <w:ind w:left="851"/>
        <w:contextualSpacing/>
        <w:rPr>
          <w:rFonts w:cs="Tahoma"/>
        </w:rPr>
      </w:pPr>
      <w:proofErr w:type="spellStart"/>
      <w:r>
        <w:rPr>
          <w:rFonts w:cs="Tahoma"/>
        </w:rPr>
        <w:t>Ubezpieczyciel</w:t>
      </w:r>
      <w:proofErr w:type="spellEnd"/>
      <w:r>
        <w:rPr>
          <w:rFonts w:cs="Tahoma"/>
        </w:rPr>
        <w:t xml:space="preserve"> </w:t>
      </w:r>
      <w:proofErr w:type="spellStart"/>
      <w:r>
        <w:rPr>
          <w:rFonts w:cs="Tahoma"/>
        </w:rPr>
        <w:t>wypłaca</w:t>
      </w:r>
      <w:proofErr w:type="spellEnd"/>
      <w:r>
        <w:rPr>
          <w:rFonts w:cs="Tahoma"/>
        </w:rPr>
        <w:t xml:space="preserve"> </w:t>
      </w:r>
      <w:proofErr w:type="spellStart"/>
      <w:r>
        <w:rPr>
          <w:rFonts w:cs="Tahoma"/>
        </w:rPr>
        <w:t>należne</w:t>
      </w:r>
      <w:proofErr w:type="spellEnd"/>
      <w:r>
        <w:rPr>
          <w:rFonts w:cs="Tahoma"/>
        </w:rPr>
        <w:t xml:space="preserve"> </w:t>
      </w:r>
      <w:proofErr w:type="spellStart"/>
      <w:r>
        <w:rPr>
          <w:rFonts w:cs="Tahoma"/>
        </w:rPr>
        <w:t>odszkodowanie</w:t>
      </w:r>
      <w:proofErr w:type="spellEnd"/>
      <w:r>
        <w:rPr>
          <w:rFonts w:cs="Tahoma"/>
        </w:rPr>
        <w:t xml:space="preserve"> w </w:t>
      </w:r>
      <w:proofErr w:type="spellStart"/>
      <w:r>
        <w:rPr>
          <w:rFonts w:cs="Tahoma"/>
        </w:rPr>
        <w:t>kwocie</w:t>
      </w:r>
      <w:proofErr w:type="spellEnd"/>
      <w:r>
        <w:rPr>
          <w:rFonts w:cs="Tahoma"/>
        </w:rPr>
        <w:t xml:space="preserve"> </w:t>
      </w:r>
      <w:proofErr w:type="spellStart"/>
      <w:r>
        <w:rPr>
          <w:rFonts w:cs="Tahoma"/>
        </w:rPr>
        <w:t>odpowiadającej</w:t>
      </w:r>
      <w:proofErr w:type="spellEnd"/>
      <w:r>
        <w:rPr>
          <w:rFonts w:cs="Tahoma"/>
        </w:rPr>
        <w:t xml:space="preserve"> </w:t>
      </w:r>
      <w:proofErr w:type="spellStart"/>
      <w:r>
        <w:rPr>
          <w:rFonts w:cs="Tahoma"/>
        </w:rPr>
        <w:t>wysokości</w:t>
      </w:r>
      <w:proofErr w:type="spellEnd"/>
      <w:r>
        <w:rPr>
          <w:rFonts w:cs="Tahoma"/>
        </w:rPr>
        <w:t xml:space="preserve"> </w:t>
      </w:r>
      <w:proofErr w:type="spellStart"/>
      <w:r>
        <w:rPr>
          <w:rFonts w:cs="Tahoma"/>
        </w:rPr>
        <w:t>szkody</w:t>
      </w:r>
      <w:proofErr w:type="spellEnd"/>
      <w:r>
        <w:rPr>
          <w:rFonts w:cs="Tahoma"/>
        </w:rPr>
        <w:t xml:space="preserve">, </w:t>
      </w:r>
      <w:proofErr w:type="spellStart"/>
      <w:r>
        <w:rPr>
          <w:rFonts w:cs="Tahoma"/>
        </w:rPr>
        <w:t>nie</w:t>
      </w:r>
      <w:proofErr w:type="spellEnd"/>
      <w:r>
        <w:rPr>
          <w:rFonts w:cs="Tahoma"/>
        </w:rPr>
        <w:t xml:space="preserve"> </w:t>
      </w:r>
      <w:proofErr w:type="spellStart"/>
      <w:r>
        <w:rPr>
          <w:rFonts w:cs="Tahoma"/>
        </w:rPr>
        <w:t>więcej</w:t>
      </w:r>
      <w:proofErr w:type="spellEnd"/>
      <w:r>
        <w:rPr>
          <w:rFonts w:cs="Tahoma"/>
        </w:rPr>
        <w:t xml:space="preserve"> </w:t>
      </w:r>
      <w:proofErr w:type="spellStart"/>
      <w:r>
        <w:rPr>
          <w:rFonts w:cs="Tahoma"/>
        </w:rPr>
        <w:t>jednak</w:t>
      </w:r>
      <w:proofErr w:type="spellEnd"/>
      <w:r>
        <w:rPr>
          <w:rFonts w:cs="Tahoma"/>
        </w:rPr>
        <w:t xml:space="preserve"> </w:t>
      </w:r>
      <w:proofErr w:type="spellStart"/>
      <w:r>
        <w:rPr>
          <w:rFonts w:cs="Tahoma"/>
        </w:rPr>
        <w:t>od</w:t>
      </w:r>
      <w:proofErr w:type="spellEnd"/>
      <w:r>
        <w:rPr>
          <w:rFonts w:cs="Tahoma"/>
        </w:rPr>
        <w:t xml:space="preserve"> </w:t>
      </w:r>
      <w:proofErr w:type="spellStart"/>
      <w:r>
        <w:rPr>
          <w:rFonts w:cs="Tahoma"/>
        </w:rPr>
        <w:t>sumy</w:t>
      </w:r>
      <w:proofErr w:type="spellEnd"/>
      <w:r>
        <w:rPr>
          <w:rFonts w:cs="Tahoma"/>
        </w:rPr>
        <w:t xml:space="preserve"> </w:t>
      </w:r>
      <w:proofErr w:type="spellStart"/>
      <w:r>
        <w:rPr>
          <w:rFonts w:cs="Tahoma"/>
        </w:rPr>
        <w:t>ubezpieczenia</w:t>
      </w:r>
      <w:proofErr w:type="spellEnd"/>
      <w:r>
        <w:rPr>
          <w:rFonts w:cs="Tahoma"/>
        </w:rPr>
        <w:t xml:space="preserve"> </w:t>
      </w:r>
      <w:proofErr w:type="spellStart"/>
      <w:r>
        <w:rPr>
          <w:rFonts w:cs="Tahoma"/>
        </w:rPr>
        <w:t>stanowiącej</w:t>
      </w:r>
      <w:proofErr w:type="spellEnd"/>
      <w:r>
        <w:rPr>
          <w:rFonts w:cs="Tahoma"/>
        </w:rPr>
        <w:t xml:space="preserve"> </w:t>
      </w:r>
      <w:proofErr w:type="spellStart"/>
      <w:r>
        <w:rPr>
          <w:rFonts w:cs="Tahoma"/>
        </w:rPr>
        <w:t>górną</w:t>
      </w:r>
      <w:proofErr w:type="spellEnd"/>
      <w:r>
        <w:rPr>
          <w:rFonts w:cs="Tahoma"/>
        </w:rPr>
        <w:t xml:space="preserve"> </w:t>
      </w:r>
      <w:proofErr w:type="spellStart"/>
      <w:r>
        <w:rPr>
          <w:rFonts w:cs="Tahoma"/>
        </w:rPr>
        <w:t>granicę</w:t>
      </w:r>
      <w:proofErr w:type="spellEnd"/>
      <w:r>
        <w:rPr>
          <w:rFonts w:cs="Tahoma"/>
        </w:rPr>
        <w:t xml:space="preserve"> </w:t>
      </w:r>
      <w:proofErr w:type="spellStart"/>
      <w:r>
        <w:rPr>
          <w:rFonts w:cs="Tahoma"/>
        </w:rPr>
        <w:t>odpowiedzialności</w:t>
      </w:r>
      <w:proofErr w:type="spellEnd"/>
      <w:r>
        <w:rPr>
          <w:rFonts w:cs="Tahoma"/>
        </w:rPr>
        <w:t xml:space="preserve"> </w:t>
      </w:r>
      <w:proofErr w:type="spellStart"/>
      <w:r>
        <w:rPr>
          <w:rFonts w:cs="Tahoma"/>
        </w:rPr>
        <w:t>Ubezpieczyciela</w:t>
      </w:r>
      <w:proofErr w:type="spellEnd"/>
      <w:r>
        <w:rPr>
          <w:rFonts w:cs="Tahoma"/>
        </w:rPr>
        <w:t xml:space="preserve">. W </w:t>
      </w:r>
      <w:proofErr w:type="spellStart"/>
      <w:r>
        <w:rPr>
          <w:rFonts w:cs="Tahoma"/>
        </w:rPr>
        <w:t>razie</w:t>
      </w:r>
      <w:proofErr w:type="spellEnd"/>
      <w:r>
        <w:rPr>
          <w:rFonts w:cs="Tahoma"/>
        </w:rPr>
        <w:t xml:space="preserve"> </w:t>
      </w:r>
      <w:proofErr w:type="spellStart"/>
      <w:r>
        <w:rPr>
          <w:rFonts w:cs="Tahoma"/>
        </w:rPr>
        <w:t>powstania</w:t>
      </w:r>
      <w:proofErr w:type="spellEnd"/>
      <w:r>
        <w:rPr>
          <w:rFonts w:cs="Tahoma"/>
        </w:rPr>
        <w:t xml:space="preserve"> </w:t>
      </w:r>
      <w:proofErr w:type="spellStart"/>
      <w:r>
        <w:rPr>
          <w:rFonts w:cs="Tahoma"/>
        </w:rPr>
        <w:t>szkody</w:t>
      </w:r>
      <w:proofErr w:type="spellEnd"/>
      <w:r>
        <w:rPr>
          <w:rFonts w:cs="Tahoma"/>
        </w:rPr>
        <w:t xml:space="preserve"> </w:t>
      </w:r>
      <w:proofErr w:type="spellStart"/>
      <w:r>
        <w:rPr>
          <w:rFonts w:cs="Tahoma"/>
        </w:rPr>
        <w:t>suma</w:t>
      </w:r>
      <w:proofErr w:type="spellEnd"/>
      <w:r>
        <w:rPr>
          <w:rFonts w:cs="Tahoma"/>
        </w:rPr>
        <w:t xml:space="preserve"> </w:t>
      </w:r>
      <w:proofErr w:type="spellStart"/>
      <w:r>
        <w:rPr>
          <w:rFonts w:cs="Tahoma"/>
        </w:rPr>
        <w:t>ubezpieczenia</w:t>
      </w:r>
      <w:proofErr w:type="spellEnd"/>
      <w:r>
        <w:rPr>
          <w:rFonts w:cs="Tahoma"/>
        </w:rPr>
        <w:t xml:space="preserve"> </w:t>
      </w:r>
      <w:proofErr w:type="spellStart"/>
      <w:r>
        <w:rPr>
          <w:rFonts w:cs="Tahoma"/>
        </w:rPr>
        <w:t>określona</w:t>
      </w:r>
      <w:proofErr w:type="spellEnd"/>
      <w:r>
        <w:rPr>
          <w:rFonts w:cs="Tahoma"/>
        </w:rPr>
        <w:t xml:space="preserve"> w </w:t>
      </w:r>
      <w:proofErr w:type="spellStart"/>
      <w:r>
        <w:rPr>
          <w:rFonts w:cs="Tahoma"/>
        </w:rPr>
        <w:t>polisie</w:t>
      </w:r>
      <w:proofErr w:type="spellEnd"/>
      <w:r>
        <w:rPr>
          <w:rFonts w:cs="Tahoma"/>
        </w:rPr>
        <w:t xml:space="preserve"> </w:t>
      </w:r>
      <w:proofErr w:type="spellStart"/>
      <w:r>
        <w:rPr>
          <w:rFonts w:cs="Tahoma"/>
        </w:rPr>
        <w:t>zostanie</w:t>
      </w:r>
      <w:proofErr w:type="spellEnd"/>
      <w:r>
        <w:rPr>
          <w:rFonts w:cs="Tahoma"/>
        </w:rPr>
        <w:t xml:space="preserve"> </w:t>
      </w:r>
      <w:proofErr w:type="spellStart"/>
      <w:r>
        <w:rPr>
          <w:rFonts w:cs="Tahoma"/>
        </w:rPr>
        <w:t>pomniejszona</w:t>
      </w:r>
      <w:proofErr w:type="spellEnd"/>
      <w:r>
        <w:rPr>
          <w:rFonts w:cs="Tahoma"/>
        </w:rPr>
        <w:t xml:space="preserve"> o </w:t>
      </w:r>
      <w:proofErr w:type="spellStart"/>
      <w:r>
        <w:rPr>
          <w:rFonts w:cs="Tahoma"/>
        </w:rPr>
        <w:t>wysokość</w:t>
      </w:r>
      <w:proofErr w:type="spellEnd"/>
      <w:r>
        <w:rPr>
          <w:rFonts w:cs="Tahoma"/>
        </w:rPr>
        <w:t xml:space="preserve"> </w:t>
      </w:r>
      <w:proofErr w:type="spellStart"/>
      <w:r>
        <w:rPr>
          <w:rFonts w:cs="Tahoma"/>
        </w:rPr>
        <w:t>wypłaconego</w:t>
      </w:r>
      <w:proofErr w:type="spellEnd"/>
      <w:r>
        <w:rPr>
          <w:rFonts w:cs="Tahoma"/>
        </w:rPr>
        <w:t xml:space="preserve"> </w:t>
      </w:r>
      <w:proofErr w:type="spellStart"/>
      <w:r>
        <w:rPr>
          <w:rFonts w:cs="Tahoma"/>
        </w:rPr>
        <w:t>odszkodowania</w:t>
      </w:r>
      <w:proofErr w:type="spellEnd"/>
      <w:r>
        <w:rPr>
          <w:rFonts w:cs="Tahoma"/>
        </w:rPr>
        <w:t xml:space="preserve"> ( </w:t>
      </w:r>
      <w:proofErr w:type="spellStart"/>
      <w:r>
        <w:rPr>
          <w:rFonts w:cs="Tahoma"/>
        </w:rPr>
        <w:t>zasada</w:t>
      </w:r>
      <w:proofErr w:type="spellEnd"/>
      <w:r>
        <w:rPr>
          <w:rFonts w:cs="Tahoma"/>
        </w:rPr>
        <w:t xml:space="preserve"> </w:t>
      </w:r>
      <w:proofErr w:type="spellStart"/>
      <w:r>
        <w:rPr>
          <w:rFonts w:cs="Tahoma"/>
        </w:rPr>
        <w:t>wyczerpania</w:t>
      </w:r>
      <w:proofErr w:type="spellEnd"/>
      <w:r>
        <w:rPr>
          <w:rFonts w:cs="Tahoma"/>
        </w:rPr>
        <w:t xml:space="preserve"> </w:t>
      </w:r>
      <w:proofErr w:type="spellStart"/>
      <w:r>
        <w:rPr>
          <w:rFonts w:cs="Tahoma"/>
        </w:rPr>
        <w:t>sumy</w:t>
      </w:r>
      <w:proofErr w:type="spellEnd"/>
      <w:r>
        <w:rPr>
          <w:rFonts w:cs="Tahoma"/>
        </w:rPr>
        <w:t xml:space="preserve"> </w:t>
      </w:r>
      <w:proofErr w:type="spellStart"/>
      <w:r>
        <w:rPr>
          <w:rFonts w:cs="Tahoma"/>
        </w:rPr>
        <w:t>ubezpieczenia</w:t>
      </w:r>
      <w:proofErr w:type="spellEnd"/>
      <w:r>
        <w:rPr>
          <w:rFonts w:cs="Tahoma"/>
        </w:rPr>
        <w:t>).</w:t>
      </w:r>
    </w:p>
    <w:p w:rsidR="000A22F7" w:rsidRDefault="000A22F7" w:rsidP="000A22F7">
      <w:pPr>
        <w:ind w:left="851"/>
        <w:contextualSpacing/>
        <w:rPr>
          <w:rFonts w:cs="Tahoma"/>
        </w:rPr>
      </w:pPr>
      <w:r>
        <w:rPr>
          <w:rFonts w:cs="Tahoma"/>
        </w:rPr>
        <w:t xml:space="preserve">Suma </w:t>
      </w:r>
      <w:proofErr w:type="spellStart"/>
      <w:r>
        <w:rPr>
          <w:rFonts w:cs="Tahoma"/>
        </w:rPr>
        <w:t>ubezpieczenia</w:t>
      </w:r>
      <w:proofErr w:type="spellEnd"/>
      <w:r>
        <w:rPr>
          <w:rFonts w:cs="Tahoma"/>
        </w:rPr>
        <w:t xml:space="preserve"> :</w:t>
      </w:r>
    </w:p>
    <w:p w:rsidR="000A22F7" w:rsidRDefault="000A22F7" w:rsidP="000A22F7">
      <w:pPr>
        <w:ind w:left="851"/>
        <w:contextualSpacing/>
        <w:rPr>
          <w:rFonts w:cs="Tahoma"/>
        </w:rPr>
      </w:pPr>
      <w:r>
        <w:rPr>
          <w:rFonts w:cs="Tahoma"/>
        </w:rPr>
        <w:t>350 000,00 PLN</w:t>
      </w:r>
    </w:p>
    <w:p w:rsidR="000A22F7" w:rsidRDefault="000A22F7" w:rsidP="000A22F7">
      <w:pPr>
        <w:ind w:left="851"/>
        <w:contextualSpacing/>
        <w:rPr>
          <w:rFonts w:cs="Tahoma"/>
        </w:rPr>
      </w:pPr>
      <w:r>
        <w:rPr>
          <w:rFonts w:cs="Tahoma"/>
        </w:rPr>
        <w:t xml:space="preserve">  50 000,00 PLN – limit </w:t>
      </w:r>
      <w:proofErr w:type="spellStart"/>
      <w:r>
        <w:rPr>
          <w:rFonts w:cs="Tahoma"/>
        </w:rPr>
        <w:t>na</w:t>
      </w:r>
      <w:proofErr w:type="spellEnd"/>
      <w:r>
        <w:rPr>
          <w:rFonts w:cs="Tahoma"/>
        </w:rPr>
        <w:t xml:space="preserve"> </w:t>
      </w:r>
      <w:proofErr w:type="spellStart"/>
      <w:r>
        <w:rPr>
          <w:rFonts w:cs="Tahoma"/>
        </w:rPr>
        <w:t>szkody</w:t>
      </w:r>
      <w:proofErr w:type="spellEnd"/>
      <w:r>
        <w:rPr>
          <w:rFonts w:cs="Tahoma"/>
        </w:rPr>
        <w:t xml:space="preserve"> </w:t>
      </w:r>
      <w:proofErr w:type="spellStart"/>
      <w:r>
        <w:rPr>
          <w:rFonts w:cs="Tahoma"/>
        </w:rPr>
        <w:t>powstałe</w:t>
      </w:r>
      <w:proofErr w:type="spellEnd"/>
      <w:r>
        <w:rPr>
          <w:rFonts w:cs="Tahoma"/>
        </w:rPr>
        <w:t xml:space="preserve"> </w:t>
      </w:r>
      <w:proofErr w:type="spellStart"/>
      <w:r>
        <w:rPr>
          <w:rFonts w:cs="Tahoma"/>
        </w:rPr>
        <w:t>wskutek</w:t>
      </w:r>
      <w:proofErr w:type="spellEnd"/>
      <w:r>
        <w:rPr>
          <w:rFonts w:cs="Tahoma"/>
        </w:rPr>
        <w:t xml:space="preserve"> </w:t>
      </w:r>
      <w:proofErr w:type="spellStart"/>
      <w:r>
        <w:rPr>
          <w:rFonts w:cs="Tahoma"/>
        </w:rPr>
        <w:t>nieumyślnego</w:t>
      </w:r>
      <w:proofErr w:type="spellEnd"/>
      <w:r>
        <w:rPr>
          <w:rFonts w:cs="Tahoma"/>
        </w:rPr>
        <w:t xml:space="preserve"> </w:t>
      </w:r>
      <w:proofErr w:type="spellStart"/>
      <w:r>
        <w:rPr>
          <w:rFonts w:cs="Tahoma"/>
        </w:rPr>
        <w:t>zniszczenia</w:t>
      </w:r>
      <w:proofErr w:type="spellEnd"/>
      <w:r>
        <w:rPr>
          <w:rFonts w:cs="Tahoma"/>
        </w:rPr>
        <w:t xml:space="preserve"> </w:t>
      </w:r>
      <w:proofErr w:type="spellStart"/>
      <w:r>
        <w:rPr>
          <w:rFonts w:cs="Tahoma"/>
        </w:rPr>
        <w:t>lub</w:t>
      </w:r>
      <w:proofErr w:type="spellEnd"/>
      <w:r>
        <w:rPr>
          <w:rFonts w:cs="Tahoma"/>
        </w:rPr>
        <w:t xml:space="preserve"> </w:t>
      </w:r>
      <w:proofErr w:type="spellStart"/>
      <w:r>
        <w:rPr>
          <w:rFonts w:cs="Tahoma"/>
        </w:rPr>
        <w:t>uszkodzenia</w:t>
      </w:r>
      <w:proofErr w:type="spellEnd"/>
      <w:r>
        <w:rPr>
          <w:rFonts w:cs="Tahoma"/>
        </w:rPr>
        <w:t xml:space="preserve"> </w:t>
      </w:r>
      <w:proofErr w:type="spellStart"/>
      <w:r>
        <w:rPr>
          <w:rFonts w:cs="Tahoma"/>
        </w:rPr>
        <w:t>sprzętu</w:t>
      </w:r>
      <w:proofErr w:type="spellEnd"/>
      <w:r>
        <w:rPr>
          <w:rFonts w:cs="Tahoma"/>
        </w:rPr>
        <w:t xml:space="preserve"> w </w:t>
      </w:r>
      <w:proofErr w:type="spellStart"/>
      <w:r>
        <w:rPr>
          <w:rFonts w:cs="Tahoma"/>
        </w:rPr>
        <w:t>związku</w:t>
      </w:r>
      <w:proofErr w:type="spellEnd"/>
      <w:r>
        <w:rPr>
          <w:rFonts w:cs="Tahoma"/>
        </w:rPr>
        <w:t xml:space="preserve">  z </w:t>
      </w:r>
      <w:proofErr w:type="spellStart"/>
      <w:r>
        <w:rPr>
          <w:rFonts w:cs="Tahoma"/>
        </w:rPr>
        <w:t>jego</w:t>
      </w:r>
      <w:proofErr w:type="spellEnd"/>
      <w:r>
        <w:rPr>
          <w:rFonts w:cs="Tahoma"/>
        </w:rPr>
        <w:t xml:space="preserve"> </w:t>
      </w:r>
      <w:proofErr w:type="spellStart"/>
      <w:r>
        <w:rPr>
          <w:rFonts w:cs="Tahoma"/>
        </w:rPr>
        <w:t>użytkowaniem</w:t>
      </w:r>
      <w:proofErr w:type="spellEnd"/>
      <w:r>
        <w:rPr>
          <w:rFonts w:cs="Tahoma"/>
        </w:rPr>
        <w:t>.</w:t>
      </w:r>
    </w:p>
    <w:p w:rsidR="000A22F7" w:rsidRDefault="000A22F7" w:rsidP="000A22F7">
      <w:pPr>
        <w:ind w:left="851"/>
        <w:contextualSpacing/>
        <w:rPr>
          <w:rFonts w:cs="Tahoma"/>
        </w:rPr>
      </w:pPr>
      <w:r>
        <w:rPr>
          <w:rFonts w:cs="Tahoma"/>
        </w:rPr>
        <w:t xml:space="preserve">Suma </w:t>
      </w:r>
      <w:proofErr w:type="spellStart"/>
      <w:r>
        <w:rPr>
          <w:rFonts w:cs="Tahoma"/>
        </w:rPr>
        <w:t>ubezpieczenia</w:t>
      </w:r>
      <w:proofErr w:type="spellEnd"/>
      <w:r>
        <w:rPr>
          <w:rFonts w:cs="Tahoma"/>
        </w:rPr>
        <w:t xml:space="preserve"> jest </w:t>
      </w:r>
      <w:proofErr w:type="spellStart"/>
      <w:r>
        <w:rPr>
          <w:rFonts w:cs="Tahoma"/>
        </w:rPr>
        <w:t>wartością</w:t>
      </w:r>
      <w:proofErr w:type="spellEnd"/>
      <w:r>
        <w:rPr>
          <w:rFonts w:cs="Tahoma"/>
        </w:rPr>
        <w:t xml:space="preserve"> </w:t>
      </w:r>
      <w:proofErr w:type="spellStart"/>
      <w:r>
        <w:rPr>
          <w:rFonts w:cs="Tahoma"/>
        </w:rPr>
        <w:t>sprzętu</w:t>
      </w:r>
      <w:proofErr w:type="spellEnd"/>
      <w:r>
        <w:rPr>
          <w:rFonts w:cs="Tahoma"/>
        </w:rPr>
        <w:t xml:space="preserve"> </w:t>
      </w:r>
      <w:proofErr w:type="spellStart"/>
      <w:r>
        <w:rPr>
          <w:rFonts w:cs="Tahoma"/>
        </w:rPr>
        <w:t>używanego</w:t>
      </w:r>
      <w:proofErr w:type="spellEnd"/>
      <w:r>
        <w:rPr>
          <w:rFonts w:cs="Tahoma"/>
        </w:rPr>
        <w:t xml:space="preserve"> </w:t>
      </w:r>
      <w:proofErr w:type="spellStart"/>
      <w:r>
        <w:rPr>
          <w:rFonts w:cs="Tahoma"/>
        </w:rPr>
        <w:t>na</w:t>
      </w:r>
      <w:proofErr w:type="spellEnd"/>
      <w:r>
        <w:rPr>
          <w:rFonts w:cs="Tahoma"/>
        </w:rPr>
        <w:t xml:space="preserve"> </w:t>
      </w:r>
      <w:proofErr w:type="spellStart"/>
      <w:r>
        <w:rPr>
          <w:rFonts w:cs="Tahoma"/>
        </w:rPr>
        <w:t>jednym</w:t>
      </w:r>
      <w:proofErr w:type="spellEnd"/>
      <w:r>
        <w:rPr>
          <w:rFonts w:cs="Tahoma"/>
        </w:rPr>
        <w:t xml:space="preserve"> </w:t>
      </w:r>
      <w:proofErr w:type="spellStart"/>
      <w:r>
        <w:rPr>
          <w:rFonts w:cs="Tahoma"/>
        </w:rPr>
        <w:t>planie</w:t>
      </w:r>
      <w:proofErr w:type="spellEnd"/>
      <w:r>
        <w:rPr>
          <w:rFonts w:cs="Tahoma"/>
        </w:rPr>
        <w:t xml:space="preserve"> </w:t>
      </w:r>
      <w:proofErr w:type="spellStart"/>
      <w:r>
        <w:rPr>
          <w:rFonts w:cs="Tahoma"/>
        </w:rPr>
        <w:t>filmowym</w:t>
      </w:r>
      <w:proofErr w:type="spellEnd"/>
      <w:r>
        <w:rPr>
          <w:rFonts w:cs="Tahoma"/>
        </w:rPr>
        <w:t>.</w:t>
      </w:r>
    </w:p>
    <w:p w:rsidR="00DB38B2" w:rsidRDefault="00DB38B2" w:rsidP="000A22F7">
      <w:pPr>
        <w:ind w:left="851"/>
        <w:contextualSpacing/>
        <w:rPr>
          <w:rFonts w:cs="Tahoma"/>
        </w:rPr>
      </w:pPr>
    </w:p>
    <w:p w:rsidR="00DB38B2" w:rsidRDefault="00DB38B2" w:rsidP="000A22F7">
      <w:pPr>
        <w:ind w:left="851"/>
        <w:contextualSpacing/>
        <w:rPr>
          <w:rFonts w:cs="Tahoma"/>
        </w:rPr>
      </w:pPr>
    </w:p>
    <w:p w:rsidR="00375035" w:rsidRDefault="00375035" w:rsidP="00DB38B2">
      <w:pPr>
        <w:ind w:left="851"/>
        <w:contextualSpacing/>
        <w:rPr>
          <w:rFonts w:cs="Tahoma"/>
        </w:rPr>
      </w:pPr>
    </w:p>
    <w:p w:rsidR="00375035" w:rsidRDefault="00375035" w:rsidP="00DB38B2">
      <w:pPr>
        <w:ind w:left="851"/>
        <w:contextualSpacing/>
        <w:rPr>
          <w:rFonts w:cs="Tahoma"/>
        </w:rPr>
      </w:pPr>
    </w:p>
    <w:p w:rsidR="000A22F7" w:rsidRDefault="000A22F7" w:rsidP="00DB38B2">
      <w:pPr>
        <w:ind w:left="851"/>
        <w:contextualSpacing/>
        <w:rPr>
          <w:rFonts w:cs="Tahoma"/>
        </w:rPr>
      </w:pPr>
      <w:proofErr w:type="spellStart"/>
      <w:r>
        <w:rPr>
          <w:rFonts w:cs="Tahoma"/>
        </w:rPr>
        <w:t>Ustalenie</w:t>
      </w:r>
      <w:proofErr w:type="spellEnd"/>
      <w:r>
        <w:rPr>
          <w:rFonts w:cs="Tahoma"/>
        </w:rPr>
        <w:t xml:space="preserve"> </w:t>
      </w:r>
      <w:proofErr w:type="spellStart"/>
      <w:r>
        <w:rPr>
          <w:rFonts w:cs="Tahoma"/>
        </w:rPr>
        <w:t>wysokości</w:t>
      </w:r>
      <w:proofErr w:type="spellEnd"/>
      <w:r>
        <w:rPr>
          <w:rFonts w:cs="Tahoma"/>
        </w:rPr>
        <w:t xml:space="preserve"> </w:t>
      </w:r>
      <w:proofErr w:type="spellStart"/>
      <w:r>
        <w:rPr>
          <w:rFonts w:cs="Tahoma"/>
        </w:rPr>
        <w:t>szkody</w:t>
      </w:r>
      <w:proofErr w:type="spellEnd"/>
      <w:r w:rsidR="00DB38B2">
        <w:rPr>
          <w:rFonts w:cs="Tahoma"/>
        </w:rPr>
        <w:t xml:space="preserve"> </w:t>
      </w:r>
      <w:proofErr w:type="spellStart"/>
      <w:r w:rsidR="00DB38B2">
        <w:rPr>
          <w:rFonts w:cs="Tahoma"/>
        </w:rPr>
        <w:t>i</w:t>
      </w:r>
      <w:proofErr w:type="spellEnd"/>
      <w:r w:rsidR="00DB38B2">
        <w:rPr>
          <w:rFonts w:cs="Tahoma"/>
        </w:rPr>
        <w:t xml:space="preserve"> </w:t>
      </w:r>
      <w:proofErr w:type="spellStart"/>
      <w:r w:rsidR="00DB38B2">
        <w:rPr>
          <w:rFonts w:cs="Tahoma"/>
        </w:rPr>
        <w:t>odszkodowania</w:t>
      </w:r>
      <w:proofErr w:type="spellEnd"/>
    </w:p>
    <w:p w:rsidR="00DB38B2" w:rsidRPr="00DB38B2" w:rsidRDefault="00DB38B2" w:rsidP="00DB38B2">
      <w:pPr>
        <w:pStyle w:val="Akapitzlist"/>
        <w:numPr>
          <w:ilvl w:val="6"/>
          <w:numId w:val="1"/>
        </w:numPr>
        <w:ind w:left="993"/>
        <w:rPr>
          <w:rFonts w:ascii="Calibri" w:hAnsi="Calibri" w:cs="Tahoma"/>
          <w:sz w:val="22"/>
        </w:rPr>
      </w:pPr>
      <w:r w:rsidRPr="00DB38B2">
        <w:rPr>
          <w:rFonts w:ascii="Calibri" w:hAnsi="Calibri" w:cs="Tahoma"/>
          <w:sz w:val="22"/>
        </w:rPr>
        <w:t>Wysokość szkody ustala się, według udokumentowanej przez ubezpieczającego wartości przedmiotu szkody, na podstawie dokumentów magazynowych określających rodzaj pobranego na plan filmowy sprzętu. Wysokość szkody może być również ustalona na podstawie ewidencji księgowej.</w:t>
      </w:r>
    </w:p>
    <w:p w:rsidR="00DB38B2" w:rsidRDefault="00DB38B2" w:rsidP="00DB38B2">
      <w:pPr>
        <w:pStyle w:val="Akapitzlist"/>
        <w:numPr>
          <w:ilvl w:val="6"/>
          <w:numId w:val="1"/>
        </w:numPr>
        <w:ind w:left="993"/>
        <w:rPr>
          <w:rFonts w:ascii="Calibri" w:hAnsi="Calibri" w:cs="Tahoma"/>
          <w:sz w:val="22"/>
        </w:rPr>
      </w:pPr>
      <w:r w:rsidRPr="00DB38B2">
        <w:rPr>
          <w:rFonts w:ascii="Calibri" w:hAnsi="Calibri" w:cs="Tahoma"/>
          <w:sz w:val="22"/>
        </w:rPr>
        <w:t xml:space="preserve">Przy ustalaniu wysokości </w:t>
      </w:r>
      <w:r>
        <w:rPr>
          <w:rFonts w:ascii="Calibri" w:hAnsi="Calibri" w:cs="Tahoma"/>
          <w:sz w:val="22"/>
        </w:rPr>
        <w:t>szko</w:t>
      </w:r>
      <w:r w:rsidR="006F2816">
        <w:rPr>
          <w:rFonts w:ascii="Calibri" w:hAnsi="Calibri" w:cs="Tahoma"/>
          <w:sz w:val="22"/>
        </w:rPr>
        <w:t>dy potrąca się określony procentowo  stopień faktycznego zużycia przedmiotu.</w:t>
      </w:r>
    </w:p>
    <w:p w:rsidR="006F2816" w:rsidRDefault="006F2816" w:rsidP="006F2816">
      <w:pPr>
        <w:pStyle w:val="Akapitzlist"/>
        <w:ind w:left="993"/>
        <w:rPr>
          <w:rFonts w:ascii="Calibri" w:hAnsi="Calibri" w:cs="Tahoma"/>
          <w:sz w:val="22"/>
        </w:rPr>
      </w:pPr>
      <w:r>
        <w:rPr>
          <w:rFonts w:ascii="Calibri" w:hAnsi="Calibri" w:cs="Tahoma"/>
          <w:sz w:val="22"/>
        </w:rPr>
        <w:t>Udział własny:</w:t>
      </w:r>
    </w:p>
    <w:p w:rsidR="006F2816" w:rsidRDefault="006F2816" w:rsidP="006F2816">
      <w:pPr>
        <w:pStyle w:val="Akapitzlist"/>
        <w:ind w:left="993"/>
        <w:rPr>
          <w:rFonts w:ascii="Calibri" w:hAnsi="Calibri" w:cs="Tahoma"/>
          <w:sz w:val="22"/>
        </w:rPr>
      </w:pPr>
      <w:r>
        <w:rPr>
          <w:rFonts w:ascii="Calibri" w:hAnsi="Calibri" w:cs="Tahoma"/>
          <w:sz w:val="22"/>
        </w:rPr>
        <w:t xml:space="preserve">Udział własny Ubezpieczającego w szkodach powstałych na planie filmowym – 5% wartości szkody </w:t>
      </w:r>
      <w:proofErr w:type="spellStart"/>
      <w:r>
        <w:rPr>
          <w:rFonts w:ascii="Calibri" w:hAnsi="Calibri" w:cs="Tahoma"/>
          <w:sz w:val="22"/>
        </w:rPr>
        <w:t>minimun</w:t>
      </w:r>
      <w:proofErr w:type="spellEnd"/>
      <w:r>
        <w:rPr>
          <w:rFonts w:ascii="Calibri" w:hAnsi="Calibri" w:cs="Tahoma"/>
          <w:sz w:val="22"/>
        </w:rPr>
        <w:t xml:space="preserve"> 500 PLN z uwzględnieniem zapisów klauzuli 101/1</w:t>
      </w:r>
    </w:p>
    <w:p w:rsidR="006F2816" w:rsidRDefault="006F2816" w:rsidP="006F2816">
      <w:pPr>
        <w:pStyle w:val="Akapitzlist"/>
        <w:ind w:left="993"/>
        <w:rPr>
          <w:rFonts w:ascii="Calibri" w:hAnsi="Calibri" w:cs="Tahoma"/>
          <w:sz w:val="22"/>
        </w:rPr>
      </w:pPr>
      <w:r>
        <w:rPr>
          <w:rFonts w:ascii="Calibri" w:hAnsi="Calibri" w:cs="Tahoma"/>
          <w:sz w:val="22"/>
        </w:rPr>
        <w:t>Udział własny w odniesieniu do szkód polegających na utracie sprzętu spowodowanej kradzieżą z włamaniem do środka transportu – 25 % wartości skradzionego mienia w przypadku pierwszej szkody, w każdej następnej szkodzie z tego tytułu udział własny zostaje powiększony o 5 pkt. procentowych w stosunku do poprzedniego.</w:t>
      </w:r>
    </w:p>
    <w:p w:rsidR="006F2816" w:rsidRDefault="006F2816" w:rsidP="006F2816">
      <w:pPr>
        <w:pStyle w:val="Akapitzlist"/>
        <w:ind w:left="993"/>
        <w:rPr>
          <w:rFonts w:ascii="Calibri" w:hAnsi="Calibri" w:cs="Tahoma"/>
          <w:sz w:val="22"/>
        </w:rPr>
      </w:pPr>
    </w:p>
    <w:p w:rsidR="006F2816" w:rsidRDefault="006F2816" w:rsidP="006F2816">
      <w:pPr>
        <w:pStyle w:val="Akapitzlist"/>
        <w:ind w:left="993"/>
        <w:rPr>
          <w:rFonts w:ascii="Calibri" w:hAnsi="Calibri" w:cs="Tahoma"/>
          <w:b/>
          <w:sz w:val="22"/>
          <w:u w:val="single"/>
        </w:rPr>
      </w:pPr>
      <w:r w:rsidRPr="006F2816">
        <w:rPr>
          <w:rFonts w:ascii="Calibri" w:hAnsi="Calibri" w:cs="Tahoma"/>
          <w:b/>
          <w:sz w:val="22"/>
          <w:u w:val="single"/>
        </w:rPr>
        <w:t xml:space="preserve">Odpowiedź : </w:t>
      </w:r>
    </w:p>
    <w:p w:rsidR="00624AD8" w:rsidRDefault="006F2816" w:rsidP="006F2816">
      <w:pPr>
        <w:pStyle w:val="Akapitzlist"/>
        <w:ind w:left="993"/>
        <w:rPr>
          <w:rFonts w:cs="Tahoma"/>
          <w:szCs w:val="18"/>
        </w:rPr>
      </w:pPr>
      <w:r>
        <w:rPr>
          <w:rFonts w:ascii="Calibri" w:hAnsi="Calibri" w:cs="Tahoma"/>
          <w:b/>
          <w:sz w:val="22"/>
        </w:rPr>
        <w:t>Zamawiający nie wyraża zgody na zmianę zapisów.</w:t>
      </w:r>
    </w:p>
    <w:p w:rsidR="0011257A" w:rsidRDefault="0011257A">
      <w:pPr>
        <w:spacing w:after="0" w:line="240" w:lineRule="auto"/>
        <w:ind w:firstLine="708"/>
        <w:rPr>
          <w:rFonts w:cs="Tahoma"/>
          <w:b/>
          <w:color w:val="FF0000"/>
          <w:lang w:val="pl-PL"/>
        </w:rPr>
      </w:pPr>
    </w:p>
    <w:p w:rsidR="00152096" w:rsidRDefault="007F422A">
      <w:pPr>
        <w:pStyle w:val="Akapitzlist"/>
        <w:numPr>
          <w:ilvl w:val="0"/>
          <w:numId w:val="1"/>
        </w:numPr>
        <w:ind w:left="720" w:hanging="360"/>
        <w:rPr>
          <w:rFonts w:cs="Tahoma"/>
          <w:b/>
        </w:rPr>
      </w:pPr>
      <w:r>
        <w:rPr>
          <w:rFonts w:ascii="Calibri" w:hAnsi="Calibri" w:cs="Tahoma"/>
          <w:sz w:val="22"/>
        </w:rPr>
        <w:t>W odniesieniu do zapisów ubezpieczenia sprzętu elektronicznego klauzula nr 9 ubezpieczenie urządzeń przenośnych prosimy o wykaz sprzętu przenośnego oraz możliwość zastosowania poniższej klauzuli :</w:t>
      </w:r>
    </w:p>
    <w:p w:rsidR="00152096" w:rsidRDefault="00152096">
      <w:pPr>
        <w:pStyle w:val="Akapitzlist"/>
        <w:rPr>
          <w:rFonts w:cs="Tahoma"/>
          <w:b/>
        </w:rPr>
      </w:pPr>
    </w:p>
    <w:p w:rsidR="00152096" w:rsidRDefault="007F422A">
      <w:pPr>
        <w:pStyle w:val="Akapitzlist"/>
        <w:rPr>
          <w:rFonts w:ascii="Calibri" w:hAnsi="Calibri" w:cs="Tahoma"/>
          <w:sz w:val="22"/>
        </w:rPr>
      </w:pPr>
      <w:r>
        <w:rPr>
          <w:rFonts w:ascii="Calibri" w:hAnsi="Calibri" w:cs="Tahoma"/>
          <w:sz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rsidR="00152096" w:rsidRDefault="007F422A">
      <w:pPr>
        <w:pStyle w:val="Akapitzlist"/>
        <w:rPr>
          <w:rFonts w:ascii="Calibri" w:hAnsi="Calibri" w:cs="Tahoma"/>
          <w:sz w:val="22"/>
        </w:rPr>
      </w:pPr>
      <w:r>
        <w:rPr>
          <w:rFonts w:ascii="Calibri" w:hAnsi="Calibri" w:cs="Tahoma"/>
          <w:sz w:val="22"/>
        </w:rPr>
        <w:t>W przypadku kradzieży z włamaniem ubezpieczonych przedmiotów z pojazdu, Ubezpieczyciel odpowiada tylko wtedy gdy :</w:t>
      </w:r>
    </w:p>
    <w:p w:rsidR="00152096" w:rsidRDefault="007F422A">
      <w:pPr>
        <w:pStyle w:val="Akapitzlist"/>
        <w:rPr>
          <w:rFonts w:ascii="Calibri" w:hAnsi="Calibri" w:cs="Tahoma"/>
          <w:sz w:val="22"/>
        </w:rPr>
      </w:pPr>
      <w:r>
        <w:rPr>
          <w:rFonts w:ascii="Calibri" w:hAnsi="Calibri" w:cs="Tahoma"/>
          <w:sz w:val="22"/>
        </w:rPr>
        <w:t>- pojazd posiada trwałe zadaszenie (jednolita sztywna konstrukcja)</w:t>
      </w:r>
    </w:p>
    <w:p w:rsidR="00152096" w:rsidRDefault="007F422A">
      <w:pPr>
        <w:pStyle w:val="Akapitzlist"/>
        <w:rPr>
          <w:rFonts w:ascii="Calibri" w:hAnsi="Calibri" w:cs="Tahoma"/>
          <w:sz w:val="22"/>
        </w:rPr>
      </w:pPr>
      <w:r>
        <w:rPr>
          <w:rFonts w:ascii="Calibri" w:hAnsi="Calibri" w:cs="Tahoma"/>
          <w:sz w:val="22"/>
        </w:rPr>
        <w:t>- w trakcie postoju podczas transportu pojazd został prawidłowo zamknięty na wszystkie istniejące zamki i włączony został sprawnie działający system alarmowy</w:t>
      </w:r>
    </w:p>
    <w:p w:rsidR="00152096" w:rsidRDefault="007F422A">
      <w:pPr>
        <w:pStyle w:val="Akapitzlist"/>
        <w:rPr>
          <w:rFonts w:ascii="Calibri" w:hAnsi="Calibri" w:cs="Tahoma"/>
          <w:sz w:val="22"/>
        </w:rPr>
      </w:pPr>
      <w:r>
        <w:rPr>
          <w:rFonts w:ascii="Calibri" w:hAnsi="Calibri" w:cs="Tahoma"/>
          <w:sz w:val="22"/>
        </w:rPr>
        <w:t>- kradzież z włamaniem miała miejsce pomiędzy 6.00 a 22.00 (ograniczeń czasowych nie stosuje się, gdy pojazd z transportowanym sprzętem był pozostawiony na parkingu strzeżonym lub w zamkniętym garażu);</w:t>
      </w:r>
    </w:p>
    <w:p w:rsidR="00152096" w:rsidRDefault="007F422A">
      <w:pPr>
        <w:pStyle w:val="Akapitzlist"/>
        <w:rPr>
          <w:rFonts w:ascii="Calibri" w:hAnsi="Calibri" w:cs="Tahoma"/>
          <w:sz w:val="22"/>
        </w:rPr>
      </w:pPr>
      <w:r>
        <w:rPr>
          <w:rFonts w:ascii="Calibri" w:hAnsi="Calibri" w:cs="Tahoma"/>
          <w:sz w:val="22"/>
        </w:rPr>
        <w:t>- sprzęt pozostawiony w pojeździe jest niewidoczny z zewnątrz, np. w bagażniku.</w:t>
      </w:r>
    </w:p>
    <w:p w:rsidR="00152096" w:rsidRDefault="007F422A">
      <w:pPr>
        <w:pStyle w:val="Akapitzlist"/>
        <w:rPr>
          <w:rFonts w:ascii="Calibri" w:hAnsi="Calibri" w:cs="Tahoma"/>
          <w:sz w:val="22"/>
        </w:rPr>
      </w:pPr>
      <w:r>
        <w:rPr>
          <w:rFonts w:ascii="Calibri" w:hAnsi="Calibri" w:cs="Tahoma"/>
          <w:sz w:val="22"/>
        </w:rPr>
        <w:t>W każdym przypadku utraty sprzętu (w tym również telefonów komórkowych ) w wyniku kradzieży z włamaniem lub rabunku. Ubezpieczający ponosi udział własny w wysokości 25% wartości szkody, nie mniejszy jednak od ustalonego w polisie.</w:t>
      </w:r>
    </w:p>
    <w:p w:rsidR="00152096" w:rsidRDefault="007F422A">
      <w:pPr>
        <w:pStyle w:val="Akapitzlist"/>
        <w:rPr>
          <w:rFonts w:ascii="Calibri" w:hAnsi="Calibri" w:cs="Tahoma"/>
          <w:sz w:val="22"/>
        </w:rPr>
      </w:pPr>
      <w:r>
        <w:rPr>
          <w:rFonts w:ascii="Calibri" w:hAnsi="Calibri" w:cs="Tahoma"/>
          <w:sz w:val="22"/>
        </w:rPr>
        <w:t>Ubezpieczyciel nie odpowiada za szkody objęte polisą Auto-Casco i OC oraz powstałe w skutek niewłaściwego, niezgodnego z zaleceniami producenta opakowania lub jego braku.</w:t>
      </w:r>
    </w:p>
    <w:p w:rsidR="00152096" w:rsidRDefault="00152096">
      <w:pPr>
        <w:ind w:firstLine="708"/>
        <w:rPr>
          <w:lang w:val="pl-PL"/>
        </w:rPr>
      </w:pPr>
    </w:p>
    <w:p w:rsidR="00152096" w:rsidRDefault="007F422A">
      <w:pPr>
        <w:pStyle w:val="Akapitzlist"/>
        <w:spacing w:line="240" w:lineRule="auto"/>
        <w:ind w:right="360"/>
        <w:jc w:val="both"/>
        <w:rPr>
          <w:rFonts w:ascii="Calibri" w:hAnsi="Calibri" w:cs="Tahoma"/>
          <w:b/>
          <w:color w:val="000000"/>
          <w:sz w:val="22"/>
          <w:u w:val="single"/>
        </w:rPr>
      </w:pPr>
      <w:r>
        <w:rPr>
          <w:rFonts w:ascii="Calibri" w:hAnsi="Calibri" w:cs="Tahoma"/>
          <w:b/>
          <w:color w:val="000000"/>
          <w:sz w:val="22"/>
          <w:u w:val="single"/>
        </w:rPr>
        <w:t xml:space="preserve">Odpowiedź : </w:t>
      </w:r>
    </w:p>
    <w:p w:rsidR="00152096" w:rsidRDefault="007F422A">
      <w:pPr>
        <w:pStyle w:val="Akapitzlist"/>
        <w:tabs>
          <w:tab w:val="left" w:pos="6096"/>
        </w:tabs>
        <w:spacing w:line="240" w:lineRule="auto"/>
        <w:ind w:right="360"/>
        <w:jc w:val="both"/>
        <w:rPr>
          <w:rFonts w:ascii="Calibri" w:hAnsi="Calibri" w:cs="Tahoma"/>
          <w:b/>
          <w:color w:val="000000"/>
          <w:sz w:val="22"/>
        </w:rPr>
      </w:pPr>
      <w:r>
        <w:rPr>
          <w:rFonts w:ascii="Calibri" w:hAnsi="Calibri" w:cs="Tahoma"/>
          <w:b/>
          <w:color w:val="000000"/>
          <w:sz w:val="22"/>
        </w:rPr>
        <w:t>Zamawiający nie wyraża zgody na załącznik w postaci wykazu sprzętu. W przypadku ewentualnej szkody jest w stanie udowodnić, że zniszczony sprzęt jest jego własnością np. za pomocą wydruku ewidencji środków trwałych, lub jest wypożyczony np. za pomocą umowy.</w:t>
      </w:r>
    </w:p>
    <w:p w:rsidR="00152096" w:rsidRDefault="007F422A">
      <w:pPr>
        <w:pStyle w:val="Akapitzlist"/>
        <w:tabs>
          <w:tab w:val="left" w:pos="6096"/>
        </w:tabs>
        <w:spacing w:line="240" w:lineRule="auto"/>
        <w:ind w:right="360"/>
        <w:jc w:val="both"/>
        <w:rPr>
          <w:rFonts w:ascii="Calibri" w:hAnsi="Calibri" w:cs="Tahoma"/>
          <w:b/>
          <w:color w:val="000000"/>
          <w:sz w:val="22"/>
        </w:rPr>
      </w:pPr>
      <w:r>
        <w:rPr>
          <w:rFonts w:ascii="Calibri" w:hAnsi="Calibri" w:cs="Tahoma"/>
          <w:b/>
          <w:color w:val="000000"/>
          <w:sz w:val="22"/>
        </w:rPr>
        <w:t>Zamawiający nie wyraża zgody na zastosowanie sugerowanej klauzuli.</w:t>
      </w:r>
    </w:p>
    <w:p w:rsidR="00375035" w:rsidRDefault="00375035">
      <w:pPr>
        <w:pStyle w:val="Akapitzlist"/>
        <w:tabs>
          <w:tab w:val="left" w:pos="6096"/>
        </w:tabs>
        <w:spacing w:line="240" w:lineRule="auto"/>
        <w:ind w:right="360"/>
        <w:jc w:val="both"/>
        <w:rPr>
          <w:rFonts w:ascii="Calibri" w:hAnsi="Calibri" w:cs="Tahoma"/>
          <w:b/>
          <w:color w:val="000000"/>
          <w:sz w:val="22"/>
        </w:rPr>
      </w:pPr>
    </w:p>
    <w:p w:rsidR="00375035" w:rsidRPr="00375035" w:rsidRDefault="00375035" w:rsidP="00375035">
      <w:pPr>
        <w:pStyle w:val="Akapitzlist"/>
        <w:numPr>
          <w:ilvl w:val="0"/>
          <w:numId w:val="1"/>
        </w:numPr>
        <w:tabs>
          <w:tab w:val="left" w:pos="6096"/>
        </w:tabs>
        <w:spacing w:line="240" w:lineRule="auto"/>
        <w:ind w:left="851" w:right="360" w:hanging="491"/>
        <w:jc w:val="both"/>
        <w:rPr>
          <w:rFonts w:ascii="Calibri" w:hAnsi="Calibri" w:cs="Tahoma"/>
          <w:b/>
          <w:color w:val="000000"/>
          <w:sz w:val="22"/>
        </w:rPr>
      </w:pPr>
      <w:r>
        <w:rPr>
          <w:rFonts w:ascii="Calibri" w:hAnsi="Calibri" w:cs="Tahoma"/>
          <w:color w:val="000000"/>
          <w:sz w:val="22"/>
        </w:rPr>
        <w:t>Dotyczy ubezpieczenia NNW</w:t>
      </w:r>
    </w:p>
    <w:p w:rsidR="00375035" w:rsidRDefault="00375035" w:rsidP="00375035">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ilość osób objętych ubezpieczeniem</w:t>
      </w:r>
    </w:p>
    <w:p w:rsidR="00375035" w:rsidRDefault="00375035" w:rsidP="00375035">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wysokość sumy gwarancyjnej</w:t>
      </w:r>
    </w:p>
    <w:p w:rsidR="00375035" w:rsidRDefault="00375035" w:rsidP="00375035">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zakres ubezpieczenia</w:t>
      </w:r>
    </w:p>
    <w:p w:rsidR="00375035" w:rsidRDefault="00375035" w:rsidP="00375035">
      <w:pPr>
        <w:pStyle w:val="Akapitzlist"/>
        <w:tabs>
          <w:tab w:val="left" w:pos="6096"/>
        </w:tabs>
        <w:spacing w:line="240" w:lineRule="auto"/>
        <w:ind w:left="851" w:right="360"/>
        <w:jc w:val="both"/>
        <w:rPr>
          <w:rFonts w:ascii="Calibri" w:hAnsi="Calibri" w:cs="Tahoma"/>
          <w:color w:val="000000"/>
          <w:sz w:val="22"/>
        </w:rPr>
      </w:pPr>
    </w:p>
    <w:p w:rsidR="00375035" w:rsidRPr="00375035" w:rsidRDefault="00375035" w:rsidP="00375035">
      <w:pPr>
        <w:pStyle w:val="Akapitzlist"/>
        <w:tabs>
          <w:tab w:val="left" w:pos="6096"/>
        </w:tabs>
        <w:spacing w:line="240" w:lineRule="auto"/>
        <w:ind w:left="851" w:right="360"/>
        <w:jc w:val="both"/>
        <w:rPr>
          <w:rFonts w:ascii="Calibri" w:hAnsi="Calibri" w:cs="Tahoma"/>
          <w:b/>
          <w:color w:val="000000"/>
          <w:sz w:val="22"/>
          <w:u w:val="single"/>
        </w:rPr>
      </w:pPr>
      <w:r w:rsidRPr="00375035">
        <w:rPr>
          <w:rFonts w:ascii="Calibri" w:hAnsi="Calibri" w:cs="Tahoma"/>
          <w:b/>
          <w:color w:val="000000"/>
          <w:sz w:val="22"/>
          <w:u w:val="single"/>
        </w:rPr>
        <w:t>Odpowiedź :</w:t>
      </w:r>
    </w:p>
    <w:p w:rsidR="00375035" w:rsidRDefault="00375035" w:rsidP="00375035">
      <w:pPr>
        <w:pStyle w:val="Akapitzlist"/>
        <w:tabs>
          <w:tab w:val="left" w:pos="6096"/>
        </w:tabs>
        <w:spacing w:line="240" w:lineRule="auto"/>
        <w:ind w:left="851" w:right="360"/>
        <w:jc w:val="both"/>
        <w:rPr>
          <w:rFonts w:ascii="Calibri" w:hAnsi="Calibri" w:cs="Tahoma"/>
          <w:b/>
          <w:color w:val="000000"/>
          <w:sz w:val="22"/>
        </w:rPr>
      </w:pPr>
      <w:r>
        <w:rPr>
          <w:rFonts w:ascii="Calibri" w:hAnsi="Calibri" w:cs="Tahoma"/>
          <w:b/>
          <w:color w:val="000000"/>
          <w:sz w:val="22"/>
        </w:rPr>
        <w:lastRenderedPageBreak/>
        <w:t>Z</w:t>
      </w:r>
      <w:r w:rsidR="005F2BCC">
        <w:rPr>
          <w:rFonts w:ascii="Calibri" w:hAnsi="Calibri" w:cs="Tahoma"/>
          <w:b/>
          <w:color w:val="000000"/>
          <w:sz w:val="22"/>
        </w:rPr>
        <w:t xml:space="preserve">amawiający informuje, że ilość osób objętych ubezpieczeniem, zakres ubezpieczenia wraz z sumą ubezpieczenia podane są w Zapytaniu ofertowym dostępnym pod adresem </w:t>
      </w:r>
      <w:hyperlink r:id="rId7" w:history="1">
        <w:r w:rsidR="005F2BCC" w:rsidRPr="005F2BCC">
          <w:rPr>
            <w:rStyle w:val="Hipercze"/>
            <w:rFonts w:ascii="Calibri" w:hAnsi="Calibri" w:cs="Tahoma"/>
            <w:b/>
            <w:sz w:val="22"/>
          </w:rPr>
          <w:t>http://bip.filmschool.lodz.pl/index.php?id=105&amp;p=179</w:t>
        </w:r>
      </w:hyperlink>
    </w:p>
    <w:p w:rsidR="005F2BCC" w:rsidRDefault="005F2BCC" w:rsidP="005F2BCC">
      <w:pPr>
        <w:pStyle w:val="Akapitzlist"/>
        <w:numPr>
          <w:ilvl w:val="0"/>
          <w:numId w:val="1"/>
        </w:numPr>
        <w:tabs>
          <w:tab w:val="left" w:pos="6096"/>
        </w:tabs>
        <w:spacing w:line="240" w:lineRule="auto"/>
        <w:ind w:left="851" w:right="360" w:hanging="491"/>
        <w:jc w:val="both"/>
        <w:rPr>
          <w:rFonts w:ascii="Calibri" w:hAnsi="Calibri" w:cs="Tahoma"/>
          <w:color w:val="000000"/>
          <w:sz w:val="22"/>
        </w:rPr>
      </w:pPr>
      <w:r w:rsidRPr="005F2BCC">
        <w:rPr>
          <w:rFonts w:ascii="Calibri" w:hAnsi="Calibri" w:cs="Tahoma"/>
          <w:color w:val="000000"/>
          <w:sz w:val="22"/>
        </w:rPr>
        <w:t>Dotyczy ubezpieczenia OC</w:t>
      </w:r>
    </w:p>
    <w:p w:rsidR="005F2BCC" w:rsidRDefault="005F2BCC" w:rsidP="005F2BCC">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ilość zatrudnionych osób</w:t>
      </w:r>
    </w:p>
    <w:p w:rsidR="005F2BCC" w:rsidRDefault="005F2BCC" w:rsidP="005F2BCC">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obrót w ostatnim roku</w:t>
      </w:r>
    </w:p>
    <w:p w:rsidR="005F2BCC" w:rsidRDefault="005F2BCC" w:rsidP="005F2BCC">
      <w:pPr>
        <w:pStyle w:val="Akapitzlist"/>
        <w:tabs>
          <w:tab w:val="left" w:pos="6096"/>
        </w:tabs>
        <w:spacing w:line="240" w:lineRule="auto"/>
        <w:ind w:left="851" w:right="360"/>
        <w:jc w:val="both"/>
        <w:rPr>
          <w:rFonts w:ascii="Calibri" w:hAnsi="Calibri" w:cs="Tahoma"/>
          <w:color w:val="000000"/>
          <w:sz w:val="22"/>
        </w:rPr>
      </w:pPr>
      <w:r>
        <w:rPr>
          <w:rFonts w:ascii="Calibri" w:hAnsi="Calibri" w:cs="Tahoma"/>
          <w:color w:val="000000"/>
          <w:sz w:val="22"/>
        </w:rPr>
        <w:t>- szkodowość z OC</w:t>
      </w:r>
    </w:p>
    <w:p w:rsidR="005F2BCC" w:rsidRDefault="005F2BCC" w:rsidP="005F2BCC">
      <w:pPr>
        <w:pStyle w:val="Akapitzlist"/>
        <w:tabs>
          <w:tab w:val="left" w:pos="6096"/>
        </w:tabs>
        <w:spacing w:line="240" w:lineRule="auto"/>
        <w:ind w:left="851" w:right="360"/>
        <w:jc w:val="both"/>
        <w:rPr>
          <w:rFonts w:ascii="Calibri" w:hAnsi="Calibri" w:cs="Tahoma"/>
          <w:color w:val="000000"/>
          <w:sz w:val="22"/>
        </w:rPr>
      </w:pPr>
    </w:p>
    <w:p w:rsidR="005F2BCC" w:rsidRDefault="005F2BCC" w:rsidP="005F2BCC">
      <w:pPr>
        <w:pStyle w:val="Akapitzlist"/>
        <w:tabs>
          <w:tab w:val="left" w:pos="6096"/>
        </w:tabs>
        <w:spacing w:line="240" w:lineRule="auto"/>
        <w:ind w:left="851" w:right="360"/>
        <w:jc w:val="both"/>
        <w:rPr>
          <w:rFonts w:ascii="Calibri" w:hAnsi="Calibri" w:cs="Tahoma"/>
          <w:b/>
          <w:color w:val="000000"/>
          <w:sz w:val="22"/>
          <w:u w:val="single"/>
        </w:rPr>
      </w:pPr>
      <w:r w:rsidRPr="005F2BCC">
        <w:rPr>
          <w:rFonts w:ascii="Calibri" w:hAnsi="Calibri" w:cs="Tahoma"/>
          <w:b/>
          <w:color w:val="000000"/>
          <w:sz w:val="22"/>
          <w:u w:val="single"/>
        </w:rPr>
        <w:t xml:space="preserve">Odpowiedź : </w:t>
      </w:r>
    </w:p>
    <w:p w:rsidR="005F2BCC" w:rsidRDefault="005F2BCC" w:rsidP="005F2BCC">
      <w:pPr>
        <w:pStyle w:val="Akapitzlist"/>
        <w:tabs>
          <w:tab w:val="left" w:pos="6096"/>
        </w:tabs>
        <w:spacing w:line="240" w:lineRule="auto"/>
        <w:ind w:left="851" w:right="360"/>
        <w:jc w:val="both"/>
        <w:rPr>
          <w:rFonts w:ascii="Calibri" w:hAnsi="Calibri" w:cs="Tahoma"/>
          <w:b/>
          <w:color w:val="000000"/>
          <w:sz w:val="22"/>
        </w:rPr>
      </w:pPr>
      <w:r>
        <w:rPr>
          <w:rFonts w:ascii="Calibri" w:hAnsi="Calibri" w:cs="Tahoma"/>
          <w:b/>
          <w:color w:val="000000"/>
          <w:sz w:val="22"/>
        </w:rPr>
        <w:t>Zamawiający informuje, że w ciągu ostatnich trzech lat nie wystąpiły szkody z ubezpieczenia OC.</w:t>
      </w:r>
    </w:p>
    <w:p w:rsidR="005F2BCC" w:rsidRPr="005F2BCC" w:rsidRDefault="005F2BCC" w:rsidP="005F2BCC">
      <w:pPr>
        <w:pStyle w:val="Akapitzlist"/>
        <w:tabs>
          <w:tab w:val="left" w:pos="6096"/>
        </w:tabs>
        <w:spacing w:line="240" w:lineRule="auto"/>
        <w:ind w:left="851" w:right="360"/>
        <w:jc w:val="both"/>
        <w:rPr>
          <w:rFonts w:ascii="Calibri" w:hAnsi="Calibri" w:cs="Tahoma"/>
          <w:b/>
          <w:color w:val="000000"/>
          <w:sz w:val="22"/>
        </w:rPr>
      </w:pPr>
      <w:r>
        <w:rPr>
          <w:rFonts w:ascii="Calibri" w:hAnsi="Calibri" w:cs="Tahoma"/>
          <w:b/>
          <w:color w:val="000000"/>
          <w:sz w:val="22"/>
        </w:rPr>
        <w:t>Pozostałe odpowiedzi dostępne są w pkt.15</w:t>
      </w:r>
    </w:p>
    <w:p w:rsidR="00375035" w:rsidRPr="00375035" w:rsidRDefault="00375035" w:rsidP="00375035">
      <w:pPr>
        <w:tabs>
          <w:tab w:val="left" w:pos="6096"/>
        </w:tabs>
        <w:spacing w:line="240" w:lineRule="auto"/>
        <w:ind w:right="360"/>
        <w:jc w:val="both"/>
        <w:rPr>
          <w:rFonts w:cs="Tahoma"/>
          <w:b/>
          <w:color w:val="000000"/>
        </w:rPr>
      </w:pPr>
    </w:p>
    <w:p w:rsidR="00152096" w:rsidRDefault="00152096">
      <w:pPr>
        <w:pStyle w:val="Akapitzlist"/>
        <w:tabs>
          <w:tab w:val="left" w:pos="6096"/>
        </w:tabs>
        <w:spacing w:line="240" w:lineRule="auto"/>
        <w:ind w:right="360"/>
        <w:jc w:val="both"/>
        <w:rPr>
          <w:rFonts w:ascii="Calibri" w:hAnsi="Calibri" w:cs="Tahoma"/>
          <w:b/>
          <w:color w:val="000000"/>
          <w:sz w:val="22"/>
        </w:rPr>
      </w:pPr>
    </w:p>
    <w:p w:rsidR="00152096" w:rsidRDefault="00152096">
      <w:pPr>
        <w:ind w:firstLine="708"/>
        <w:rPr>
          <w:lang w:val="pl-PL"/>
        </w:rPr>
      </w:pPr>
    </w:p>
    <w:sectPr w:rsidR="00152096" w:rsidSect="00601568">
      <w:pgSz w:w="11900" w:h="16834"/>
      <w:pgMar w:top="720" w:right="720" w:bottom="720" w:left="72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14" w:rsidRDefault="00764E14" w:rsidP="003E4950">
      <w:pPr>
        <w:spacing w:after="0" w:line="240" w:lineRule="auto"/>
      </w:pPr>
      <w:r>
        <w:separator/>
      </w:r>
    </w:p>
  </w:endnote>
  <w:endnote w:type="continuationSeparator" w:id="0">
    <w:p w:rsidR="00764E14" w:rsidRDefault="00764E14" w:rsidP="003E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14" w:rsidRDefault="00764E14" w:rsidP="003E4950">
      <w:pPr>
        <w:spacing w:after="0" w:line="240" w:lineRule="auto"/>
      </w:pPr>
      <w:r>
        <w:separator/>
      </w:r>
    </w:p>
  </w:footnote>
  <w:footnote w:type="continuationSeparator" w:id="0">
    <w:p w:rsidR="00764E14" w:rsidRDefault="00764E14" w:rsidP="003E4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985"/>
    <w:multiLevelType w:val="hybridMultilevel"/>
    <w:tmpl w:val="F776EB4C"/>
    <w:lvl w:ilvl="0" w:tplc="41D643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8548B5"/>
    <w:multiLevelType w:val="hybridMultilevel"/>
    <w:tmpl w:val="FDA086C2"/>
    <w:lvl w:ilvl="0" w:tplc="F62A3AB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7164DC9"/>
    <w:multiLevelType w:val="singleLevel"/>
    <w:tmpl w:val="9D0A17CC"/>
    <w:name w:val="Bullet 10"/>
    <w:lvl w:ilvl="0">
      <w:numFmt w:val="bullet"/>
      <w:lvlText w:val=""/>
      <w:lvlJc w:val="left"/>
      <w:pPr>
        <w:tabs>
          <w:tab w:val="num" w:pos="0"/>
        </w:tabs>
        <w:ind w:left="0" w:firstLine="0"/>
      </w:pPr>
      <w:rPr>
        <w:rFonts w:ascii="Symbol" w:hAnsi="Symbol"/>
        <w:sz w:val="20"/>
      </w:rPr>
    </w:lvl>
  </w:abstractNum>
  <w:abstractNum w:abstractNumId="3">
    <w:nsid w:val="1895367A"/>
    <w:multiLevelType w:val="singleLevel"/>
    <w:tmpl w:val="243C8A00"/>
    <w:name w:val="Bullet 2"/>
    <w:lvl w:ilvl="0">
      <w:start w:val="1"/>
      <w:numFmt w:val="decimal"/>
      <w:lvlText w:val="%1"/>
      <w:lvlJc w:val="left"/>
      <w:pPr>
        <w:tabs>
          <w:tab w:val="num" w:pos="0"/>
        </w:tabs>
        <w:ind w:left="0" w:firstLine="0"/>
      </w:pPr>
      <w:rPr>
        <w:b w:val="0"/>
      </w:rPr>
    </w:lvl>
  </w:abstractNum>
  <w:abstractNum w:abstractNumId="4">
    <w:nsid w:val="1A626429"/>
    <w:multiLevelType w:val="singleLevel"/>
    <w:tmpl w:val="8E3C2768"/>
    <w:name w:val="Bullet 9"/>
    <w:lvl w:ilvl="0">
      <w:numFmt w:val="bullet"/>
      <w:lvlText w:val=""/>
      <w:lvlJc w:val="left"/>
      <w:pPr>
        <w:tabs>
          <w:tab w:val="num" w:pos="0"/>
        </w:tabs>
        <w:ind w:left="0" w:firstLine="0"/>
      </w:pPr>
      <w:rPr>
        <w:rFonts w:ascii="Symbol" w:hAnsi="Symbol"/>
      </w:rPr>
    </w:lvl>
  </w:abstractNum>
  <w:abstractNum w:abstractNumId="5">
    <w:nsid w:val="1CBD3246"/>
    <w:multiLevelType w:val="singleLevel"/>
    <w:tmpl w:val="A5427A86"/>
    <w:name w:val="Bullet 11"/>
    <w:lvl w:ilvl="0">
      <w:numFmt w:val="bullet"/>
      <w:lvlText w:val="o"/>
      <w:lvlJc w:val="left"/>
      <w:pPr>
        <w:tabs>
          <w:tab w:val="num" w:pos="0"/>
        </w:tabs>
        <w:ind w:left="0" w:firstLine="0"/>
      </w:pPr>
      <w:rPr>
        <w:rFonts w:ascii="Courier New" w:hAnsi="Courier New"/>
        <w:sz w:val="20"/>
      </w:rPr>
    </w:lvl>
  </w:abstractNum>
  <w:abstractNum w:abstractNumId="6">
    <w:nsid w:val="20713EFB"/>
    <w:multiLevelType w:val="singleLevel"/>
    <w:tmpl w:val="D8AA7BC6"/>
    <w:name w:val="Bullet 4"/>
    <w:lvl w:ilvl="0">
      <w:start w:val="1"/>
      <w:numFmt w:val="lowerRoman"/>
      <w:lvlText w:val="%1"/>
      <w:lvlJc w:val="left"/>
      <w:pPr>
        <w:tabs>
          <w:tab w:val="num" w:pos="0"/>
        </w:tabs>
        <w:ind w:left="0" w:firstLine="0"/>
      </w:pPr>
    </w:lvl>
  </w:abstractNum>
  <w:abstractNum w:abstractNumId="7">
    <w:nsid w:val="22FD7D48"/>
    <w:multiLevelType w:val="multilevel"/>
    <w:tmpl w:val="F1B67DB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nsid w:val="27CA285A"/>
    <w:multiLevelType w:val="hybridMultilevel"/>
    <w:tmpl w:val="60921C6A"/>
    <w:lvl w:ilvl="0" w:tplc="C02AB05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4E154AE"/>
    <w:multiLevelType w:val="singleLevel"/>
    <w:tmpl w:val="DC4CD0AE"/>
    <w:name w:val="Bullet 8"/>
    <w:lvl w:ilvl="0">
      <w:numFmt w:val="bullet"/>
      <w:lvlText w:val=""/>
      <w:lvlJc w:val="left"/>
      <w:pPr>
        <w:tabs>
          <w:tab w:val="num" w:pos="0"/>
        </w:tabs>
        <w:ind w:left="0" w:firstLine="0"/>
      </w:pPr>
      <w:rPr>
        <w:rFonts w:ascii="Wingdings" w:eastAsia="Wingdings" w:hAnsi="Wingdings" w:cs="Wingdings"/>
      </w:rPr>
    </w:lvl>
  </w:abstractNum>
  <w:abstractNum w:abstractNumId="10">
    <w:nsid w:val="3C862A66"/>
    <w:multiLevelType w:val="singleLevel"/>
    <w:tmpl w:val="67F80672"/>
    <w:name w:val="Bullet 6"/>
    <w:lvl w:ilvl="0">
      <w:numFmt w:val="bullet"/>
      <w:lvlText w:val="-"/>
      <w:lvlJc w:val="left"/>
      <w:pPr>
        <w:tabs>
          <w:tab w:val="num" w:pos="0"/>
        </w:tabs>
        <w:ind w:left="0" w:firstLine="0"/>
      </w:pPr>
      <w:rPr>
        <w:rFonts w:ascii="Times New Roman" w:eastAsia="SimSun" w:hAnsi="Times New Roman" w:cs="Times New Roman"/>
      </w:rPr>
    </w:lvl>
  </w:abstractNum>
  <w:abstractNum w:abstractNumId="11">
    <w:nsid w:val="53F64C85"/>
    <w:multiLevelType w:val="multilevel"/>
    <w:tmpl w:val="83BADBC2"/>
    <w:name w:val="Numbered list 1"/>
    <w:lvl w:ilvl="0">
      <w:start w:val="1"/>
      <w:numFmt w:val="decimal"/>
      <w:lvlText w:val="%1."/>
      <w:lvlJc w:val="left"/>
      <w:pPr>
        <w:ind w:left="360" w:firstLine="0"/>
      </w:pPr>
      <w:rPr>
        <w:b w:val="0"/>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2">
    <w:nsid w:val="575C37C3"/>
    <w:multiLevelType w:val="singleLevel"/>
    <w:tmpl w:val="D1BA8472"/>
    <w:name w:val="Bullet 7"/>
    <w:lvl w:ilvl="0">
      <w:numFmt w:val="bullet"/>
      <w:lvlText w:val="o"/>
      <w:lvlJc w:val="left"/>
      <w:pPr>
        <w:tabs>
          <w:tab w:val="num" w:pos="0"/>
        </w:tabs>
        <w:ind w:left="0" w:firstLine="0"/>
      </w:pPr>
      <w:rPr>
        <w:rFonts w:ascii="Courier New" w:hAnsi="Courier New" w:cs="Courier New"/>
      </w:rPr>
    </w:lvl>
  </w:abstractNum>
  <w:abstractNum w:abstractNumId="13">
    <w:nsid w:val="621758B3"/>
    <w:multiLevelType w:val="singleLevel"/>
    <w:tmpl w:val="33CA24C0"/>
    <w:name w:val="Bullet 3"/>
    <w:lvl w:ilvl="0">
      <w:start w:val="1"/>
      <w:numFmt w:val="lowerLetter"/>
      <w:lvlText w:val="%1"/>
      <w:lvlJc w:val="left"/>
      <w:pPr>
        <w:tabs>
          <w:tab w:val="num" w:pos="0"/>
        </w:tabs>
        <w:ind w:left="0" w:firstLine="0"/>
      </w:pPr>
    </w:lvl>
  </w:abstractNum>
  <w:abstractNum w:abstractNumId="14">
    <w:nsid w:val="651070F1"/>
    <w:multiLevelType w:val="singleLevel"/>
    <w:tmpl w:val="4BCC35D4"/>
    <w:name w:val="Bullet 12"/>
    <w:lvl w:ilvl="0">
      <w:numFmt w:val="bullet"/>
      <w:lvlText w:val=""/>
      <w:lvlJc w:val="left"/>
      <w:pPr>
        <w:tabs>
          <w:tab w:val="num" w:pos="0"/>
        </w:tabs>
        <w:ind w:left="0" w:firstLine="0"/>
      </w:pPr>
      <w:rPr>
        <w:rFonts w:ascii="Wingdings" w:eastAsia="Wingdings" w:hAnsi="Wingdings" w:cs="Wingdings"/>
        <w:sz w:val="20"/>
      </w:rPr>
    </w:lvl>
  </w:abstractNum>
  <w:abstractNum w:abstractNumId="15">
    <w:nsid w:val="6A3F319A"/>
    <w:multiLevelType w:val="singleLevel"/>
    <w:tmpl w:val="5ADADA62"/>
    <w:name w:val="Bullet 5"/>
    <w:lvl w:ilvl="0">
      <w:start w:val="1"/>
      <w:numFmt w:val="decimal"/>
      <w:lvlText w:val="%1"/>
      <w:lvlJc w:val="left"/>
      <w:pPr>
        <w:tabs>
          <w:tab w:val="num" w:pos="0"/>
        </w:tabs>
        <w:ind w:left="0" w:firstLine="0"/>
      </w:pPr>
    </w:lvl>
  </w:abstractNum>
  <w:num w:numId="1">
    <w:abstractNumId w:val="11"/>
  </w:num>
  <w:num w:numId="2">
    <w:abstractNumId w:val="3"/>
  </w:num>
  <w:num w:numId="3">
    <w:abstractNumId w:val="13"/>
  </w:num>
  <w:num w:numId="4">
    <w:abstractNumId w:val="6"/>
  </w:num>
  <w:num w:numId="5">
    <w:abstractNumId w:val="15"/>
  </w:num>
  <w:num w:numId="6">
    <w:abstractNumId w:val="10"/>
  </w:num>
  <w:num w:numId="7">
    <w:abstractNumId w:val="12"/>
  </w:num>
  <w:num w:numId="8">
    <w:abstractNumId w:val="9"/>
  </w:num>
  <w:num w:numId="9">
    <w:abstractNumId w:val="4"/>
  </w:num>
  <w:num w:numId="10">
    <w:abstractNumId w:val="2"/>
  </w:num>
  <w:num w:numId="11">
    <w:abstractNumId w:val="5"/>
  </w:num>
  <w:num w:numId="12">
    <w:abstractNumId w:val="14"/>
  </w:num>
  <w:num w:numId="13">
    <w:abstractNumId w:val="7"/>
  </w:num>
  <w:num w:numId="14">
    <w:abstractNumId w:val="0"/>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0"/>
  <w:drawingGridVerticalSpacing w:val="0"/>
  <w:doNotShadeFormData/>
  <w:characterSpacingControl w:val="doNotCompress"/>
  <w:footnotePr>
    <w:footnote w:id="-1"/>
    <w:footnote w:id="0"/>
  </w:footnotePr>
  <w:endnotePr>
    <w:endnote w:id="-1"/>
    <w:endnote w:id="0"/>
  </w:endnotePr>
  <w:compat>
    <w:useFELayout/>
  </w:compat>
  <w:rsids>
    <w:rsidRoot w:val="00152096"/>
    <w:rsid w:val="000077C9"/>
    <w:rsid w:val="000A22F7"/>
    <w:rsid w:val="000E0B7F"/>
    <w:rsid w:val="0011257A"/>
    <w:rsid w:val="00152096"/>
    <w:rsid w:val="00180A5C"/>
    <w:rsid w:val="0021722F"/>
    <w:rsid w:val="0024131B"/>
    <w:rsid w:val="00281158"/>
    <w:rsid w:val="00375035"/>
    <w:rsid w:val="003E4950"/>
    <w:rsid w:val="00416EF8"/>
    <w:rsid w:val="004D7617"/>
    <w:rsid w:val="005716CF"/>
    <w:rsid w:val="00573EE3"/>
    <w:rsid w:val="005D62F7"/>
    <w:rsid w:val="005F2BCC"/>
    <w:rsid w:val="00601568"/>
    <w:rsid w:val="00603A6A"/>
    <w:rsid w:val="00624AD8"/>
    <w:rsid w:val="00655330"/>
    <w:rsid w:val="006F2816"/>
    <w:rsid w:val="00764E14"/>
    <w:rsid w:val="00776180"/>
    <w:rsid w:val="007E0204"/>
    <w:rsid w:val="007F422A"/>
    <w:rsid w:val="008F7F8B"/>
    <w:rsid w:val="00AB424A"/>
    <w:rsid w:val="00B0069C"/>
    <w:rsid w:val="00B07012"/>
    <w:rsid w:val="00BF115B"/>
    <w:rsid w:val="00C87558"/>
    <w:rsid w:val="00CD0296"/>
    <w:rsid w:val="00CD4038"/>
    <w:rsid w:val="00D24988"/>
    <w:rsid w:val="00D45995"/>
    <w:rsid w:val="00DB38B2"/>
    <w:rsid w:val="00F25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B0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07012"/>
    <w:pPr>
      <w:spacing w:after="0" w:line="260" w:lineRule="exact"/>
      <w:ind w:left="720"/>
      <w:contextualSpacing/>
    </w:pPr>
    <w:rPr>
      <w:rFonts w:ascii="Tahoma" w:eastAsia="Calibri" w:hAnsi="Tahoma"/>
      <w:color w:val="1E1E1E"/>
      <w:spacing w:val="4"/>
      <w:sz w:val="18"/>
      <w:lang w:val="pl-PL"/>
    </w:rPr>
  </w:style>
  <w:style w:type="paragraph" w:styleId="NormalnyWeb">
    <w:name w:val="Normal (Web)"/>
    <w:basedOn w:val="Normalny"/>
    <w:qFormat/>
    <w:rsid w:val="00B07012"/>
    <w:pPr>
      <w:spacing w:before="100" w:beforeAutospacing="1" w:after="100" w:afterAutospacing="1" w:line="240" w:lineRule="auto"/>
    </w:pPr>
    <w:rPr>
      <w:rFonts w:ascii="Times New Roman" w:eastAsia="Calibri" w:hAnsi="Times New Roman"/>
      <w:sz w:val="24"/>
      <w:szCs w:val="24"/>
      <w:lang w:val="pl-PL"/>
    </w:rPr>
  </w:style>
  <w:style w:type="paragraph" w:styleId="Tekstdymka">
    <w:name w:val="Balloon Text"/>
    <w:basedOn w:val="Normalny"/>
    <w:qFormat/>
    <w:rsid w:val="00B07012"/>
    <w:pPr>
      <w:spacing w:after="0" w:line="240" w:lineRule="auto"/>
    </w:pPr>
    <w:rPr>
      <w:rFonts w:ascii="Segoe UI" w:hAnsi="Segoe UI" w:cs="Segoe UI"/>
      <w:sz w:val="18"/>
      <w:szCs w:val="18"/>
    </w:rPr>
  </w:style>
  <w:style w:type="paragraph" w:customStyle="1" w:styleId="Tekstkomentarza1">
    <w:name w:val="Tekst komentarza1"/>
    <w:basedOn w:val="Normalny"/>
    <w:qFormat/>
    <w:rsid w:val="00B07012"/>
    <w:pPr>
      <w:spacing w:line="240" w:lineRule="auto"/>
    </w:pPr>
    <w:rPr>
      <w:sz w:val="20"/>
      <w:szCs w:val="20"/>
    </w:rPr>
  </w:style>
  <w:style w:type="paragraph" w:customStyle="1" w:styleId="Tematkomentarza1">
    <w:name w:val="Temat komentarza1"/>
    <w:basedOn w:val="Tekstkomentarza1"/>
    <w:next w:val="Tekstkomentarza1"/>
    <w:qFormat/>
    <w:rsid w:val="00B07012"/>
    <w:rPr>
      <w:b/>
      <w:bCs/>
    </w:rPr>
  </w:style>
  <w:style w:type="character" w:styleId="Hipercze">
    <w:name w:val="Hyperlink"/>
    <w:basedOn w:val="Domylnaczcionkaakapitu"/>
    <w:rsid w:val="00B07012"/>
    <w:rPr>
      <w:rFonts w:cs="Times New Roman"/>
      <w:color w:val="0000FF"/>
      <w:u w:val="single"/>
    </w:rPr>
  </w:style>
  <w:style w:type="character" w:customStyle="1" w:styleId="TekstdymkaZnak">
    <w:name w:val="Tekst dymka Znak"/>
    <w:basedOn w:val="Domylnaczcionkaakapitu"/>
    <w:rsid w:val="00B07012"/>
    <w:rPr>
      <w:rFonts w:ascii="Segoe UI" w:eastAsia="SimSun" w:hAnsi="Segoe UI" w:cs="Segoe UI"/>
      <w:sz w:val="18"/>
      <w:szCs w:val="18"/>
      <w:lang w:val="en-US"/>
    </w:rPr>
  </w:style>
  <w:style w:type="character" w:styleId="UyteHipercze">
    <w:name w:val="FollowedHyperlink"/>
    <w:basedOn w:val="Domylnaczcionkaakapitu"/>
    <w:rsid w:val="00B07012"/>
    <w:rPr>
      <w:color w:val="954F72"/>
      <w:u w:val="single"/>
    </w:rPr>
  </w:style>
  <w:style w:type="character" w:customStyle="1" w:styleId="Odwoaniedokomentarza1">
    <w:name w:val="Odwołanie do komentarza1"/>
    <w:basedOn w:val="Domylnaczcionkaakapitu"/>
    <w:rsid w:val="00B07012"/>
    <w:rPr>
      <w:sz w:val="16"/>
      <w:szCs w:val="16"/>
    </w:rPr>
  </w:style>
  <w:style w:type="character" w:customStyle="1" w:styleId="TekstkomentarzaZnak">
    <w:name w:val="Tekst komentarza Znak"/>
    <w:basedOn w:val="Domylnaczcionkaakapitu"/>
    <w:rsid w:val="00B07012"/>
    <w:rPr>
      <w:rFonts w:eastAsia="SimSun"/>
      <w:sz w:val="20"/>
      <w:szCs w:val="20"/>
      <w:lang w:val="en-US"/>
    </w:rPr>
  </w:style>
  <w:style w:type="character" w:customStyle="1" w:styleId="TematkomentarzaZnak">
    <w:name w:val="Temat komentarza Znak"/>
    <w:basedOn w:val="TekstkomentarzaZnak"/>
    <w:rsid w:val="00B07012"/>
    <w:rPr>
      <w:rFonts w:eastAsia="SimSun"/>
      <w:b/>
      <w:bCs/>
      <w:sz w:val="20"/>
      <w:szCs w:val="20"/>
      <w:lang w:val="en-US"/>
    </w:rPr>
  </w:style>
  <w:style w:type="table" w:customStyle="1" w:styleId="GridTable4">
    <w:name w:val="Grid Table 4"/>
    <w:basedOn w:val="Standardowy"/>
    <w:uiPriority w:val="49"/>
    <w:rsid w:val="00BF115B"/>
    <w:pPr>
      <w:spacing w:after="0" w:line="240" w:lineRule="auto"/>
    </w:pPr>
    <w:rPr>
      <w:rFonts w:eastAsia="Calibri"/>
      <w:lang w:val="pl-PL" w:eastAsia="pl-P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kstprzypisukocowego">
    <w:name w:val="endnote text"/>
    <w:basedOn w:val="Normalny"/>
    <w:link w:val="TekstprzypisukocowegoZnak"/>
    <w:uiPriority w:val="99"/>
    <w:semiHidden/>
    <w:unhideWhenUsed/>
    <w:rsid w:val="003E49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4950"/>
    <w:rPr>
      <w:sz w:val="20"/>
      <w:szCs w:val="20"/>
    </w:rPr>
  </w:style>
  <w:style w:type="character" w:styleId="Odwoanieprzypisukocowego">
    <w:name w:val="endnote reference"/>
    <w:basedOn w:val="Domylnaczcionkaakapitu"/>
    <w:uiPriority w:val="99"/>
    <w:semiHidden/>
    <w:unhideWhenUsed/>
    <w:rsid w:val="003E4950"/>
    <w:rPr>
      <w:vertAlign w:val="superscript"/>
    </w:rPr>
  </w:style>
  <w:style w:type="character" w:customStyle="1" w:styleId="apple-converted-space">
    <w:name w:val="apple-converted-space"/>
    <w:basedOn w:val="Domylnaczcionkaakapitu"/>
    <w:rsid w:val="00B006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filmschool.lodz.pl/index.php?id=105&amp;p=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23573</Characters>
  <Application>Microsoft Office Word</Application>
  <DocSecurity>4</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ewidencjaxp2</dc:creator>
  <cp:lastModifiedBy>Zaopatrzenie</cp:lastModifiedBy>
  <cp:revision>2</cp:revision>
  <cp:lastPrinted>2015-12-09T07:41:00Z</cp:lastPrinted>
  <dcterms:created xsi:type="dcterms:W3CDTF">2015-12-09T07:44:00Z</dcterms:created>
  <dcterms:modified xsi:type="dcterms:W3CDTF">2015-12-09T07:44:00Z</dcterms:modified>
</cp:coreProperties>
</file>