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B0" w:rsidRDefault="009556B0" w:rsidP="009556B0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b/>
          <w:kern w:val="0"/>
          <w:sz w:val="20"/>
          <w:szCs w:val="20"/>
        </w:rPr>
      </w:pPr>
      <w:r>
        <w:rPr>
          <w:rFonts w:ascii="Calibri" w:hAnsi="Calibri" w:cs="Calibri"/>
          <w:b/>
          <w:kern w:val="0"/>
          <w:sz w:val="20"/>
          <w:szCs w:val="20"/>
        </w:rPr>
        <w:t>Wykonawcy</w:t>
      </w:r>
    </w:p>
    <w:p w:rsidR="009556B0" w:rsidRDefault="00CA7431" w:rsidP="009556B0">
      <w:pPr>
        <w:widowControl/>
        <w:suppressAutoHyphens w:val="0"/>
        <w:autoSpaceDE w:val="0"/>
        <w:autoSpaceDN w:val="0"/>
        <w:adjustRightInd w:val="0"/>
        <w:spacing w:line="480" w:lineRule="auto"/>
        <w:jc w:val="right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Łódź, 8</w:t>
      </w:r>
      <w:r w:rsidR="009556B0">
        <w:rPr>
          <w:rFonts w:ascii="Calibri" w:hAnsi="Calibri" w:cs="Calibri"/>
          <w:kern w:val="0"/>
          <w:sz w:val="20"/>
          <w:szCs w:val="20"/>
        </w:rPr>
        <w:t xml:space="preserve"> </w:t>
      </w:r>
      <w:r>
        <w:rPr>
          <w:rFonts w:ascii="Calibri" w:hAnsi="Calibri" w:cs="Calibri"/>
          <w:kern w:val="0"/>
          <w:sz w:val="20"/>
          <w:szCs w:val="20"/>
        </w:rPr>
        <w:t>grudnia</w:t>
      </w:r>
      <w:r w:rsidR="009556B0">
        <w:rPr>
          <w:rFonts w:ascii="Calibri" w:hAnsi="Calibri" w:cs="Calibri"/>
          <w:kern w:val="0"/>
          <w:sz w:val="20"/>
          <w:szCs w:val="20"/>
        </w:rPr>
        <w:t xml:space="preserve"> 2016 r.</w:t>
      </w:r>
    </w:p>
    <w:p w:rsidR="009556B0" w:rsidRDefault="009556B0" w:rsidP="009556B0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kern w:val="0"/>
          <w:sz w:val="20"/>
          <w:szCs w:val="20"/>
        </w:rPr>
      </w:pPr>
      <w:r>
        <w:rPr>
          <w:rFonts w:ascii="Calibri" w:hAnsi="Calibri" w:cs="Calibri"/>
          <w:b/>
          <w:kern w:val="0"/>
          <w:sz w:val="20"/>
          <w:szCs w:val="20"/>
        </w:rPr>
        <w:t>PN/0</w:t>
      </w:r>
      <w:r w:rsidR="00A639B6">
        <w:rPr>
          <w:rFonts w:ascii="Calibri" w:hAnsi="Calibri" w:cs="Calibri"/>
          <w:b/>
          <w:kern w:val="0"/>
          <w:sz w:val="20"/>
          <w:szCs w:val="20"/>
        </w:rPr>
        <w:t>9</w:t>
      </w:r>
      <w:r>
        <w:rPr>
          <w:rFonts w:ascii="Calibri" w:hAnsi="Calibri" w:cs="Calibri"/>
          <w:b/>
          <w:kern w:val="0"/>
          <w:sz w:val="20"/>
          <w:szCs w:val="20"/>
        </w:rPr>
        <w:t>/2016/</w:t>
      </w:r>
      <w:r w:rsidR="00BB4B5B">
        <w:rPr>
          <w:rFonts w:ascii="Calibri" w:hAnsi="Calibri" w:cs="Calibri"/>
          <w:b/>
          <w:kern w:val="0"/>
          <w:sz w:val="20"/>
          <w:szCs w:val="20"/>
        </w:rPr>
        <w:t>233</w:t>
      </w:r>
    </w:p>
    <w:p w:rsidR="009556B0" w:rsidRPr="00093579" w:rsidRDefault="009556B0" w:rsidP="00093579">
      <w:pPr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Dotyczy: postępowania o udzielenie zamówienia publicznego prowadzonego w trybie przetargu nieograniczonego na</w:t>
      </w:r>
      <w:r>
        <w:rPr>
          <w:rFonts w:ascii="Calibri" w:hAnsi="Calibri" w:cs="Calibri"/>
          <w:b/>
          <w:bCs/>
          <w:kern w:val="0"/>
          <w:sz w:val="20"/>
          <w:szCs w:val="20"/>
        </w:rPr>
        <w:t xml:space="preserve"> </w:t>
      </w:r>
      <w:r w:rsidR="00CA7431">
        <w:rPr>
          <w:rFonts w:ascii="Calibri" w:hAnsi="Calibri" w:cs="Calibri"/>
          <w:b/>
          <w:bCs/>
          <w:sz w:val="20"/>
          <w:szCs w:val="20"/>
        </w:rPr>
        <w:t>Dostawę</w:t>
      </w:r>
      <w:r w:rsidR="00CA7431" w:rsidRPr="00CA7431">
        <w:rPr>
          <w:rFonts w:ascii="Calibri" w:hAnsi="Calibri" w:cs="Calibri"/>
          <w:b/>
          <w:bCs/>
          <w:sz w:val="20"/>
          <w:szCs w:val="20"/>
        </w:rPr>
        <w:t xml:space="preserve"> podestów scenicznych wraz z osprzętem do budowania widowni teatralnej</w:t>
      </w:r>
      <w:r>
        <w:rPr>
          <w:rFonts w:ascii="Calibri" w:hAnsi="Calibri" w:cs="Calibri"/>
          <w:b/>
          <w:bCs/>
          <w:kern w:val="0"/>
          <w:sz w:val="20"/>
          <w:szCs w:val="20"/>
        </w:rPr>
        <w:t xml:space="preserve">. </w:t>
      </w:r>
      <w:r w:rsidR="00CA7431">
        <w:rPr>
          <w:rFonts w:ascii="Calibri" w:hAnsi="Calibri" w:cs="Calibri"/>
          <w:kern w:val="0"/>
          <w:sz w:val="20"/>
          <w:szCs w:val="20"/>
        </w:rPr>
        <w:t>Nr sprawy: PN/10</w:t>
      </w:r>
      <w:r>
        <w:rPr>
          <w:rFonts w:ascii="Calibri" w:hAnsi="Calibri" w:cs="Calibri"/>
          <w:kern w:val="0"/>
          <w:sz w:val="20"/>
          <w:szCs w:val="20"/>
        </w:rPr>
        <w:t>/2016</w:t>
      </w:r>
    </w:p>
    <w:p w:rsidR="009556B0" w:rsidRDefault="009556B0" w:rsidP="009556B0">
      <w:pPr>
        <w:widowControl/>
        <w:suppressAutoHyphens w:val="0"/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:rsidR="00CA7431" w:rsidRDefault="00CA7431" w:rsidP="009556B0">
      <w:pPr>
        <w:widowControl/>
        <w:suppressAutoHyphens w:val="0"/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:rsidR="00CA7431" w:rsidRDefault="00CA7431" w:rsidP="009556B0">
      <w:pPr>
        <w:widowControl/>
        <w:suppressAutoHyphens w:val="0"/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:rsidR="009556B0" w:rsidRDefault="009556B0" w:rsidP="009556B0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 xml:space="preserve">Uprzejmie informujemy, iż w </w:t>
      </w:r>
      <w:r w:rsidR="00F25BD5">
        <w:rPr>
          <w:rFonts w:ascii="Calibri" w:hAnsi="Calibri" w:cs="Calibri"/>
          <w:kern w:val="0"/>
          <w:sz w:val="20"/>
          <w:szCs w:val="20"/>
        </w:rPr>
        <w:t xml:space="preserve">dn. </w:t>
      </w:r>
      <w:r w:rsidR="00CA7431">
        <w:rPr>
          <w:rFonts w:ascii="Calibri" w:hAnsi="Calibri" w:cs="Calibri"/>
          <w:kern w:val="0"/>
          <w:sz w:val="20"/>
          <w:szCs w:val="20"/>
        </w:rPr>
        <w:t>05</w:t>
      </w:r>
      <w:r>
        <w:rPr>
          <w:rFonts w:ascii="Calibri" w:hAnsi="Calibri" w:cs="Calibri"/>
          <w:kern w:val="0"/>
          <w:sz w:val="20"/>
          <w:szCs w:val="20"/>
        </w:rPr>
        <w:t>.1</w:t>
      </w:r>
      <w:r w:rsidR="00CA7431">
        <w:rPr>
          <w:rFonts w:ascii="Calibri" w:hAnsi="Calibri" w:cs="Calibri"/>
          <w:kern w:val="0"/>
          <w:sz w:val="20"/>
          <w:szCs w:val="20"/>
        </w:rPr>
        <w:t>2</w:t>
      </w:r>
      <w:r>
        <w:rPr>
          <w:rFonts w:ascii="Calibri" w:hAnsi="Calibri" w:cs="Calibri"/>
          <w:kern w:val="0"/>
          <w:sz w:val="20"/>
          <w:szCs w:val="20"/>
        </w:rPr>
        <w:t>.2</w:t>
      </w:r>
      <w:r w:rsidR="00CA7431">
        <w:rPr>
          <w:rFonts w:ascii="Calibri" w:hAnsi="Calibri" w:cs="Calibri"/>
          <w:kern w:val="0"/>
          <w:sz w:val="20"/>
          <w:szCs w:val="20"/>
        </w:rPr>
        <w:t xml:space="preserve">016 r. do Zamawiającego wpłynęły </w:t>
      </w:r>
      <w:r w:rsidR="009951A6">
        <w:rPr>
          <w:rFonts w:ascii="Calibri" w:hAnsi="Calibri" w:cs="Calibri"/>
          <w:kern w:val="0"/>
          <w:sz w:val="20"/>
          <w:szCs w:val="20"/>
        </w:rPr>
        <w:t>pytani</w:t>
      </w:r>
      <w:r w:rsidR="00CA7431">
        <w:rPr>
          <w:rFonts w:ascii="Calibri" w:hAnsi="Calibri" w:cs="Calibri"/>
          <w:kern w:val="0"/>
          <w:sz w:val="20"/>
          <w:szCs w:val="20"/>
        </w:rPr>
        <w:t>a</w:t>
      </w:r>
      <w:r>
        <w:rPr>
          <w:rFonts w:ascii="Calibri" w:hAnsi="Calibri" w:cs="Calibri"/>
          <w:kern w:val="0"/>
          <w:sz w:val="20"/>
          <w:szCs w:val="20"/>
        </w:rPr>
        <w:t xml:space="preserve"> dotyczące zapisów specyfikacji istotnych warunków zamówienia, w postępowaniu prowadzonym na podstawie przepisów ustawy z dnia 29 stycznia 2004 roku Prawo Zamówień Publicznych (Dz. U. z 2015 r. poz. 2164 ze. zm.) w trybie </w:t>
      </w:r>
      <w:r>
        <w:rPr>
          <w:rFonts w:ascii="Calibri" w:hAnsi="Calibri" w:cs="Calibri"/>
          <w:b/>
          <w:bCs/>
          <w:kern w:val="0"/>
          <w:sz w:val="20"/>
          <w:szCs w:val="20"/>
        </w:rPr>
        <w:t>przetargu nieograniczonego</w:t>
      </w:r>
      <w:r>
        <w:rPr>
          <w:rFonts w:ascii="Calibri" w:hAnsi="Calibri" w:cs="Calibri"/>
          <w:kern w:val="0"/>
          <w:sz w:val="20"/>
          <w:szCs w:val="20"/>
        </w:rPr>
        <w:t>, na</w:t>
      </w:r>
      <w:r>
        <w:rPr>
          <w:rFonts w:ascii="Calibri" w:hAnsi="Calibri" w:cs="Calibri"/>
          <w:b/>
          <w:bCs/>
          <w:kern w:val="0"/>
          <w:sz w:val="20"/>
          <w:szCs w:val="20"/>
        </w:rPr>
        <w:t xml:space="preserve"> </w:t>
      </w:r>
      <w:r w:rsidR="00CC6D8B" w:rsidRPr="00093579">
        <w:rPr>
          <w:rFonts w:ascii="Calibri" w:hAnsi="Calibri" w:cs="Calibri"/>
          <w:b/>
          <w:bCs/>
          <w:sz w:val="20"/>
          <w:szCs w:val="20"/>
        </w:rPr>
        <w:t xml:space="preserve">Dostawę </w:t>
      </w:r>
      <w:r w:rsidR="00CA7431" w:rsidRPr="00CA7431">
        <w:rPr>
          <w:b/>
          <w:sz w:val="20"/>
          <w:szCs w:val="20"/>
        </w:rPr>
        <w:t>podestów scenicznych wraz z osprzętem do budowania widowni teatralnej</w:t>
      </w:r>
      <w:r>
        <w:rPr>
          <w:rFonts w:ascii="Calibri" w:hAnsi="Calibri" w:cs="Calibri"/>
          <w:b/>
          <w:bCs/>
          <w:kern w:val="0"/>
          <w:sz w:val="20"/>
          <w:szCs w:val="20"/>
        </w:rPr>
        <w:t xml:space="preserve"> </w:t>
      </w:r>
      <w:r w:rsidR="00CA7431">
        <w:rPr>
          <w:rFonts w:ascii="Calibri" w:hAnsi="Calibri" w:cs="Calibri"/>
          <w:kern w:val="0"/>
          <w:sz w:val="20"/>
          <w:szCs w:val="20"/>
        </w:rPr>
        <w:t>Nr sprawy: PN/10</w:t>
      </w:r>
      <w:r>
        <w:rPr>
          <w:rFonts w:ascii="Calibri" w:hAnsi="Calibri" w:cs="Calibri"/>
          <w:kern w:val="0"/>
          <w:sz w:val="20"/>
          <w:szCs w:val="20"/>
        </w:rPr>
        <w:t>/2016</w:t>
      </w:r>
    </w:p>
    <w:p w:rsidR="009556B0" w:rsidRDefault="009556B0" w:rsidP="009556B0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kern w:val="0"/>
          <w:sz w:val="20"/>
          <w:szCs w:val="20"/>
        </w:rPr>
      </w:pPr>
    </w:p>
    <w:p w:rsidR="009556B0" w:rsidRDefault="009556B0" w:rsidP="00D123B4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Treść wspomnian</w:t>
      </w:r>
      <w:r w:rsidR="00CA7431">
        <w:rPr>
          <w:rFonts w:ascii="Calibri" w:hAnsi="Calibri" w:cs="Calibri"/>
          <w:kern w:val="0"/>
          <w:sz w:val="20"/>
          <w:szCs w:val="20"/>
        </w:rPr>
        <w:t>ych</w:t>
      </w:r>
      <w:r>
        <w:rPr>
          <w:rFonts w:ascii="Calibri" w:hAnsi="Calibri" w:cs="Calibri"/>
          <w:kern w:val="0"/>
          <w:sz w:val="20"/>
          <w:szCs w:val="20"/>
        </w:rPr>
        <w:t xml:space="preserve"> pyta</w:t>
      </w:r>
      <w:r w:rsidR="00CA7431">
        <w:rPr>
          <w:rFonts w:ascii="Calibri" w:hAnsi="Calibri" w:cs="Calibri"/>
          <w:kern w:val="0"/>
          <w:sz w:val="20"/>
          <w:szCs w:val="20"/>
        </w:rPr>
        <w:t>ń</w:t>
      </w:r>
      <w:r>
        <w:rPr>
          <w:rFonts w:ascii="Calibri" w:hAnsi="Calibri" w:cs="Calibri"/>
          <w:kern w:val="0"/>
          <w:sz w:val="20"/>
          <w:szCs w:val="20"/>
        </w:rPr>
        <w:t xml:space="preserve"> oraz stanowisko (wyjaśnienia) Zamawiającego w przedmiotowej kwestii są następujące:</w:t>
      </w:r>
    </w:p>
    <w:p w:rsidR="009556B0" w:rsidRDefault="009556B0" w:rsidP="009556B0">
      <w:pPr>
        <w:pStyle w:val="Akapitzlist"/>
        <w:ind w:left="294" w:hanging="294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Pytanie</w:t>
      </w:r>
      <w:r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 xml:space="preserve"> 1: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Poproszę o informację, czy zapisy punktu V podpunkt c) należy traktować jako obligatoryjny, czy też fakultatywny. Zapis 60 podestów za kwotę min. 120.000zł brutto jest bardzo nieaktualny, w ostatnich dwóch latach średnia cena podestu wraz z wyposażeniem (schodki, barierki, itp.) w przetargach publicznych jak i zamówieniach prywatnych nie przekracza kwoty 1.000-1.100zł brutto. W przypadku młodych firm, istniejących na rynku mniej niż 2 lata, które sprzedają po około 600-700 podestów rocznie, warunek ten jest niemożliwy do spełnienia.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Odpowiedź: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Wymóg wykazania się dostawą za minimum 120 000 zł. brutto został usunięty. Informacja została zamieszczona na stronie Zamawiającego.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Pytanie 2: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Poproszę o zmianę sposobu obliczania najkorzystniejszej oferty, opisanej w punkcie XIII SIWZ, który ewidentnie premiuje jednego z producentów, który oferuje archaiczną, kilkudziesięcioletnią konstrukcję podestu (główny nacisk na grubość sklejki, rama ma wtórne znaczenie). Sposób ten dyskryminuje nowoczesne konstrukcje, które dzięki nowoczesnej konstrukcji ramy nośnej, o wysokości około 10cm, oferują znacznie większą sztywność i stabilność konstrukcji przy użyciu sklejki 18mm. Podesty te mają także sklejkę przykręcaną od spodu, nie z boku – wynika to z tego, że dodatkowe otwory w bocznej/nośnej części ramy powodują jej osłabienie. Podesty te spełniają najaktualniejsze wymagania w zakresie tymczasowych konstrukcji aluminiowych. Parametry: grubość sklejki min. 22mm, wysokość ramy max 8cm, mocowanie sklejki wkrętami z boku ewidentnie wskazują na jeden, konkretny model podestu, który otrzyma 40% punktów.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Odpowiedź: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pozostawia sposób obliczania najkorzystniejszej ceny bez zmian.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Jednocześnie informujemy, że są na rynku polskim i europejskim systemy podestów, które posiadają sklejkę o grubościach od 20-25mm. Zamawiający dopuszcza inną wysokość ramy niż 8cm oraz mocowanie płyty od dołu, tym samym nie dyskryminuje żadnego z potencjalnych dostawców.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Pytanie</w:t>
      </w:r>
      <w:r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 </w:t>
      </w: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3: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Pytania w zakresie opisu przedmiotu zamówienia – Załącznik nr 1 do SIWZ: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waga podestu 100 x 200cm – między 40-60 kg – czy dopuszczacie Państwo model lżejszy?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lastRenderedPageBreak/>
        <w:t>Ad.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dopuszcza model lżejszy pod warunkiem spełnienia pozostałych parametrów technicznych określonych w opisie przedmiotu zamówienia.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poproszę o informację o definicji koloru czarnego – czy zdefiniowany jest konkretnym numerem z palety RAL czy też ma to być standardowa czerń sklejki antypoślizgowej, która w określonych warunkach świetlnych (bardzo jasne światło dziennie) przyjmuje odcień hebanowy (wpada w czarny-brąz),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</w:t>
      </w:r>
      <w:r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oczekuje dostawy podestów z płytą w kolorze czarnym. Nie dopuszcza się sklejek w "standardowym" kolorze czarno-brązowym.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poproszę o informację, w jakich warunkach Zamawiający wymaga zachowania nośności 750kg/m2 w związku z zapisem „preferowany system montażu od boku ramy ze względu na przeznaczenie podestów i konieczność szybkiej wymiany płyt np. do zastosowania w scenografii” – zastosowanie innej niż fabryczne i atestowane wypełnienia podestu może spowodować spadek nośności podestu, proszę też o informację czy Zamawiający wyklucza odpowiedzialność Dostawcy w przypadku wypadku z zastosowaniem niefabrycznego wypełnienia podestu? Czy Zamawiający wyłącza też obowiązki gwarancyjne Dostawcy z tytułu uszkodzenia ramy podestu w wyniku zastosowania innego niż fabryczne wypełnienia?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oczekuje udźwigu 750kg/m2 dotyczącego podestów z oryginalną sklejką producenta. Zamawiający będzie ponosił odpowiedzialność za wymianę i używanie innych płyt stosowanych w scenografii.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w związku z wymogiem Zamawiającego o zamontowanie narożnika, umożliwiającego współpracę z nogami okrągłymi i kwadratowymi o mniejszych niż standardowe rozmiarach, poproszę o informację, czy nośność podestu ma zostać zachowana dla innych niż standardowe nóg oraz czy ma to zostać potwierdzone niezbędnymi świadectwami,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oczekuje, że podest będzie posiadał badania potwierdzające udźwig 750kg/m2 przy użyciu nóg z trzech rodzajów profili: 60x60, 40x40 i rury okrągłej.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czy aluminiowe listwy do mocowania krzeseł powinny być pomalowane w kolorze czarny mat czy pozostawione w naturalnym kolorze? Poproszę o informację o systemie krzeseł, z którymi listwy mają współpracować, ewentualnie poproszę o podanie wymiarów takich listew,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Tak, listwy mają być także pomalowane  na kolor czarny mat. Listwy blokujące krzesła mają być uniwersalne.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w związku z tym, że podesty mają być użytkowane w Polsce, poproszę o zmianie zapisu wymogu certyfikatu marketingowego wg terminologii TUV </w:t>
      </w:r>
      <w:proofErr w:type="spellStart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Thuringen</w:t>
      </w:r>
      <w:proofErr w:type="spellEnd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 i wewnętrznego dokumentu o nazwie </w:t>
      </w:r>
      <w:proofErr w:type="spellStart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PfG</w:t>
      </w:r>
      <w:proofErr w:type="spellEnd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 EK5/AK1 11-01:2012 z obligatoryjnego na dobrowolny oraz nieuwzględnianiu tego parametru przy ocenie ofert. W Ustawie z dnia 12 grudnia 2003r. o ogólnym bezpieczeństwie produktów, nie istnieje formuła prawna o wystawianiu, czy to własnego czy obcego, certyfikatu bezpieczeństwa dla produktu, tym bardziej przez zewnętrzną firmę – link do tekstu jednolitego ustawy: </w:t>
      </w:r>
      <w:hyperlink r:id="rId6" w:history="1">
        <w:r w:rsidRPr="00CA7431">
          <w:rPr>
            <w:rFonts w:asciiTheme="minorHAnsi" w:eastAsia="Times New Roman" w:hAnsiTheme="minorHAnsi" w:cstheme="minorHAnsi"/>
            <w:i/>
            <w:color w:val="0000FF"/>
            <w:kern w:val="0"/>
            <w:sz w:val="20"/>
            <w:szCs w:val="20"/>
            <w:u w:val="single"/>
          </w:rPr>
          <w:t>http://isap.sejm.gov.pl/DetailsServlet?id=WDU20032292275</w:t>
        </w:r>
      </w:hyperlink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 . Ustawa ta reguluje, że badania produktu można przeprowadzać tylko w oparciu o normy ogłoszone przez Polski Komitet Normalizacyjny. Oznacza to, że certyfikaty komercyjne (TUV, </w:t>
      </w:r>
      <w:proofErr w:type="spellStart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Dekra</w:t>
      </w:r>
      <w:proofErr w:type="spellEnd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, itp.), prowadzące certyfikację w zakresie rynku niemieckiego, przez niemieckie laboratoria, według niemieckich norm DIN czy innych procedur nie uznawanych przez Polski Komitet Normalizacyjny, nie są w świetle polskiego prawa certyfikatami dopuszczającymi produkt do obrotu i jako takie nie mogą być obligatoryjnie wymagane.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Zamawiający wyjaśnia, że oznaczenie certyfikacji </w:t>
      </w:r>
      <w:proofErr w:type="spellStart"/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PfG</w:t>
      </w:r>
      <w:proofErr w:type="spellEnd"/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 EK5/AK1 11-01:2012 jest numerem badania TUV dla podestów aluminiowych, które potwierdza spełnienie normy DIN 15921.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lastRenderedPageBreak/>
        <w:t>Na polskim i europejskim rynku większość producentów podestów posiada certyfikację niezależnej akredytowanej jednostki, tym samym każda firma ma prawo taką certyfikację wykonać na potwierdzenie jakości swoich produktów.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Dbając o bezpieczeństwo i najwyższą jakość kupowanych produktów Zamawiający oczekuje dostarczenia certyfikatu niezależnej akredytowanej jednostki, który potwierdzi, że podesty są produkowane zgodnie z normą DIN 15921 - podesty aluminiowe.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- poproszę o ustosunkowanie się do zapisu dotyczącego przedstawienia dokumentu potwierdzającego udźwig 750kg/m2 ze współczynnikiem bezpieczeństwa 1,7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oczekuje że oferowane produkty będą posiadały badanie na udźwig ze współczynnikiem bezpieczeństwa 1,7.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2D339D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 – obowiązujące w Polsce i Europie normy </w:t>
      </w:r>
      <w:proofErr w:type="spellStart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Eurokod</w:t>
      </w:r>
      <w:proofErr w:type="spellEnd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 dla tymczasowych konstrukcji aluminiowych, wymagają innych współczynników. Czy Zamawiający dopuszcza zamiast marketingowego certyfikatu TUV raport z obliczeń statycznych, wykonany przez upraw</w:t>
      </w:r>
    </w:p>
    <w:p w:rsidR="002D339D" w:rsidRDefault="002D339D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proofErr w:type="spellStart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nione</w:t>
      </w:r>
      <w:proofErr w:type="spellEnd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 biuro konstrukcyjne, niezależne od dostawcy, potwierdzające wymogi konstrukcji z polskimi i europejskimi normami dla tymczasowych konstrukcji aluminiowych. Raport ten musi być uzupełniony o certyfikaty potwierdzające zgodność materiałową konkretnej partii aluminium, użytego do budowy konkretnego podestu scenicznego.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 xml:space="preserve">Ad.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wymaga przedstawienie certyfikatu niezależnej, akredytowanej jednostki certyfikującej, np. TUV. potwierdzającej spełnienie normy dla podestów aluminiowych oraz oczekuje dostarczenia obliczeń statycznych potwierdzających udźwig podestów 750 kg/m2.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W związku z tym, że certyfikacja </w:t>
      </w:r>
      <w:proofErr w:type="spellStart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trudnozapalności</w:t>
      </w:r>
      <w:proofErr w:type="spellEnd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 sklejki nie odbywa się pod kątem konkretnego zastosowania, ale pod kątem określonych norm PN-EN, proszę o informację, czy certyfikat potwierdzający </w:t>
      </w:r>
      <w:proofErr w:type="spellStart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trudnozapalność</w:t>
      </w:r>
      <w:proofErr w:type="spellEnd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 sklejki w klasie Bfl-S1 ale nie wskazujący na konkretne zastosowanie także będzie respektowany.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oczekuje, że certyfikat będzie potwierdzał właściwości sklejki Bfl-S1 z zastosowaniem do wypełnienia w podestach scenicznych.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Czy wykładzina baletowa powinna posiadać certyfikat </w:t>
      </w:r>
      <w:proofErr w:type="spellStart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trudnozapalności</w:t>
      </w:r>
      <w:proofErr w:type="spellEnd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 np. Bfl-S1?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Wykładzina powinna posiadać certyfikat na trudnopalność.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077F5A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077F5A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Czy taśma klejąca wykładzinę baletową do podłogi powinna być certyfikowana pod kątem </w:t>
      </w:r>
      <w:proofErr w:type="spellStart"/>
      <w:r w:rsidRPr="00077F5A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trudnozapalności</w:t>
      </w:r>
      <w:proofErr w:type="spellEnd"/>
      <w:r w:rsidRPr="00077F5A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 oraz emisji szkodliwych substancji? Poproszę o podanie rodzaju podłoża do którego taśma ma przymocować wykładzinę baletową (beton, parkiet, płytki ceramiczne, itp.)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Ad.</w:t>
      </w:r>
    </w:p>
    <w:p w:rsidR="00CA7431" w:rsidRPr="00CA7431" w:rsidRDefault="00CA7431" w:rsidP="00077F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nie określa wymagań dot. taśm. Wykładzina będzie kładziona na różnych podłożach.</w:t>
      </w:r>
    </w:p>
    <w:p w:rsidR="00CA7431" w:rsidRPr="00CA7431" w:rsidRDefault="00CA7431" w:rsidP="00077F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077F5A" w:rsidRDefault="00CA7431" w:rsidP="00077F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077F5A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Poproszę o doprecyzowanie zakresu zamówienia: w ogłoszeniu mowa jest o dostawie i montażu, w projekcie umowy o dostawie.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oczekuje: dostawy i pierwszego montażu widowni na Sali Głównej Teatru Studyjnego wraz z dopasowaniem 4 nietypowych podestów do kształtu słupów.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077F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- Poproszę o doprecyzowanie wymaganego okresu rękojmi (mowa o nim w projekcie umowy).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610A80" w:rsidRPr="00610A80" w:rsidRDefault="00610A80" w:rsidP="00610A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10A80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Zgodnie z projektem umowy strony rozszerzają odpowiedzialność Wykonawcy z tytułu rękojmi za wady przedmiotu umowy na cały okres gwarancji określony w </w:t>
      </w:r>
      <w:r w:rsidR="00AD678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D678C">
        <w:rPr>
          <w:rFonts w:ascii="Times New Roman" w:hAnsi="Times New Roman" w:cs="Times New Roman"/>
          <w:color w:val="000000"/>
          <w:sz w:val="20"/>
          <w:szCs w:val="20"/>
        </w:rPr>
        <w:t>§</w:t>
      </w:r>
      <w:r w:rsidR="00AD678C">
        <w:rPr>
          <w:rFonts w:asciiTheme="minorHAnsi" w:hAnsiTheme="minorHAnsi" w:cstheme="minorHAnsi"/>
          <w:color w:val="000000"/>
          <w:sz w:val="20"/>
          <w:szCs w:val="20"/>
        </w:rPr>
        <w:t xml:space="preserve"> 8 ust. 1 </w:t>
      </w:r>
      <w:r w:rsidR="00A47CE5">
        <w:rPr>
          <w:rFonts w:asciiTheme="minorHAnsi" w:hAnsiTheme="minorHAnsi" w:cstheme="minorHAnsi"/>
          <w:color w:val="000000"/>
          <w:sz w:val="20"/>
          <w:szCs w:val="20"/>
        </w:rPr>
        <w:t xml:space="preserve">umowy </w:t>
      </w:r>
      <w:r w:rsidRPr="00610A80">
        <w:rPr>
          <w:rFonts w:asciiTheme="minorHAnsi" w:hAnsiTheme="minorHAnsi" w:cstheme="minorHAnsi"/>
          <w:color w:val="000000"/>
          <w:sz w:val="20"/>
          <w:szCs w:val="20"/>
        </w:rPr>
        <w:t>– minimalny wymagany okres gwarancji wynosi 5 lat.</w:t>
      </w:r>
    </w:p>
    <w:p w:rsidR="00610A80" w:rsidRDefault="00610A80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</w:p>
    <w:p w:rsidR="00CA7431" w:rsidRPr="00077F5A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077F5A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Poproszę o wyjaśnienie w zakresie paragrafu nr 5 punkt 2 – wymagany jest certyfikat CE. Proszę o informację, czy wymagany jest on każdy z elementów zamówienia (podesty, barierki, nogi, listwa aluminiowa do łączenia krzeseł, wykładzina baletowa, taśma montażowa do wykładziny baletowej).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077F5A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077F5A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</w:t>
      </w:r>
      <w:r w:rsidR="00077F5A" w:rsidRPr="00077F5A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.</w:t>
      </w:r>
    </w:p>
    <w:p w:rsidR="00CA7431" w:rsidRPr="00CA7431" w:rsidRDefault="00CA7431" w:rsidP="00077F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odstępuje od wymogu dostarczenia certyfikatów CE.</w:t>
      </w:r>
    </w:p>
    <w:p w:rsidR="00F25BD5" w:rsidRPr="00CA7431" w:rsidRDefault="00F25BD5" w:rsidP="00F25BD5">
      <w:p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sectPr w:rsidR="00F25BD5" w:rsidRPr="00CA7431" w:rsidSect="00EF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9D" w:rsidRDefault="002D339D" w:rsidP="00F25BD5">
      <w:r>
        <w:separator/>
      </w:r>
    </w:p>
  </w:endnote>
  <w:endnote w:type="continuationSeparator" w:id="0">
    <w:p w:rsidR="002D339D" w:rsidRDefault="002D339D" w:rsidP="00F25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9D" w:rsidRDefault="002D339D" w:rsidP="00F25BD5">
      <w:r>
        <w:separator/>
      </w:r>
    </w:p>
  </w:footnote>
  <w:footnote w:type="continuationSeparator" w:id="0">
    <w:p w:rsidR="002D339D" w:rsidRDefault="002D339D" w:rsidP="00F25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6B0"/>
    <w:rsid w:val="00077F5A"/>
    <w:rsid w:val="00093579"/>
    <w:rsid w:val="001F3291"/>
    <w:rsid w:val="002B45F9"/>
    <w:rsid w:val="002D339D"/>
    <w:rsid w:val="003273D8"/>
    <w:rsid w:val="0034336A"/>
    <w:rsid w:val="00390BDB"/>
    <w:rsid w:val="004A605A"/>
    <w:rsid w:val="00574CD5"/>
    <w:rsid w:val="00610A80"/>
    <w:rsid w:val="006C0FB8"/>
    <w:rsid w:val="00853DB4"/>
    <w:rsid w:val="009556B0"/>
    <w:rsid w:val="00994D0E"/>
    <w:rsid w:val="009951A6"/>
    <w:rsid w:val="00A0372A"/>
    <w:rsid w:val="00A44729"/>
    <w:rsid w:val="00A47CE5"/>
    <w:rsid w:val="00A639B6"/>
    <w:rsid w:val="00AD678C"/>
    <w:rsid w:val="00BB465A"/>
    <w:rsid w:val="00BB4B5B"/>
    <w:rsid w:val="00CA7431"/>
    <w:rsid w:val="00CC6D8B"/>
    <w:rsid w:val="00D123B4"/>
    <w:rsid w:val="00EF07F9"/>
    <w:rsid w:val="00F25BD5"/>
    <w:rsid w:val="00F656FF"/>
    <w:rsid w:val="00FC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6B0"/>
    <w:pPr>
      <w:widowControl w:val="0"/>
      <w:suppressAutoHyphens/>
      <w:spacing w:line="240" w:lineRule="auto"/>
      <w:jc w:val="left"/>
    </w:pPr>
    <w:rPr>
      <w:rFonts w:ascii="Times" w:eastAsia="Arial" w:hAnsi="Times" w:cs="Tahoma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6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B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BD5"/>
    <w:rPr>
      <w:rFonts w:ascii="Times" w:eastAsia="Arial" w:hAnsi="Times" w:cs="Tahoma"/>
      <w:kern w:val="16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BD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9357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paragraph" w:customStyle="1" w:styleId="tekstpodstawowy21">
    <w:name w:val="tekstpodstawowy21"/>
    <w:basedOn w:val="Normalny"/>
    <w:rsid w:val="0009357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A74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743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74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ap.sejm.gov.pl/DetailsServlet?id=WDU2003229227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1446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9</cp:revision>
  <dcterms:created xsi:type="dcterms:W3CDTF">2016-12-08T08:58:00Z</dcterms:created>
  <dcterms:modified xsi:type="dcterms:W3CDTF">2016-12-08T09:33:00Z</dcterms:modified>
</cp:coreProperties>
</file>